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758A" w:rsidRDefault="0067758A" w:rsidP="000F1700">
      <w:pPr>
        <w:pStyle w:val="Prrafodelista"/>
        <w:numPr>
          <w:ilvl w:val="0"/>
          <w:numId w:val="1"/>
        </w:numPr>
        <w:spacing w:before="0" w:after="0" w:line="228" w:lineRule="auto"/>
        <w:rPr>
          <w:rFonts w:ascii="Tahoma" w:hAnsi="Tahoma" w:cs="Tahoma"/>
          <w:b/>
        </w:rPr>
      </w:pPr>
      <w:bookmarkStart w:id="0" w:name="_GoBack"/>
      <w:bookmarkEnd w:id="0"/>
      <w:r w:rsidRPr="00AD4CE9">
        <w:rPr>
          <w:rFonts w:ascii="Tahoma" w:hAnsi="Tahoma" w:cs="Tahoma"/>
          <w:b/>
        </w:rPr>
        <w:t xml:space="preserve">BALANCE GENERAL COMPARATIVO </w:t>
      </w: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F27698" w:rsidP="00AD4CE9">
      <w:pPr>
        <w:spacing w:before="0" w:after="0" w:line="228" w:lineRule="auto"/>
        <w:rPr>
          <w:rFonts w:ascii="Tahoma" w:hAnsi="Tahoma" w:cs="Tahoma"/>
          <w:noProof/>
        </w:rPr>
      </w:pPr>
      <w:r w:rsidRPr="00F27698">
        <w:rPr>
          <w:noProof/>
        </w:rPr>
        <w:drawing>
          <wp:inline distT="0" distB="0" distL="0" distR="0" wp14:anchorId="2DF9D9EF" wp14:editId="652A65BC">
            <wp:extent cx="5613400" cy="5161065"/>
            <wp:effectExtent l="0" t="0" r="6350" b="190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516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F56475" w:rsidRDefault="00F56475" w:rsidP="00AD4CE9">
      <w:pPr>
        <w:spacing w:before="0" w:after="0" w:line="228" w:lineRule="auto"/>
        <w:rPr>
          <w:rFonts w:ascii="Tahoma" w:hAnsi="Tahoma" w:cs="Tahoma"/>
        </w:rPr>
      </w:pPr>
    </w:p>
    <w:p w:rsidR="00F56475" w:rsidRDefault="00F56475" w:rsidP="00AD4CE9">
      <w:pPr>
        <w:spacing w:before="0" w:after="0" w:line="228" w:lineRule="auto"/>
        <w:rPr>
          <w:rFonts w:ascii="Tahoma" w:hAnsi="Tahoma" w:cs="Tahoma"/>
        </w:rPr>
      </w:pPr>
    </w:p>
    <w:p w:rsidR="00F27698" w:rsidRDefault="00F27698" w:rsidP="00096CAD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noProof/>
        </w:rPr>
        <w:lastRenderedPageBreak/>
        <w:drawing>
          <wp:inline distT="0" distB="0" distL="0" distR="0" wp14:anchorId="7FC29DE2" wp14:editId="0FC6B8BA">
            <wp:extent cx="4572000" cy="2733675"/>
            <wp:effectExtent l="0" t="0" r="19050" b="9525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F27698" w:rsidRDefault="00F27698" w:rsidP="00096CAD">
      <w:pPr>
        <w:spacing w:before="0" w:after="0" w:line="228" w:lineRule="auto"/>
        <w:jc w:val="both"/>
        <w:rPr>
          <w:rFonts w:ascii="Tahoma" w:hAnsi="Tahoma" w:cs="Tahoma"/>
        </w:rPr>
      </w:pPr>
    </w:p>
    <w:p w:rsidR="00DB37A9" w:rsidRDefault="00DB37A9" w:rsidP="00096CAD">
      <w:pPr>
        <w:spacing w:before="0" w:after="0" w:line="228" w:lineRule="auto"/>
        <w:jc w:val="both"/>
        <w:rPr>
          <w:rFonts w:ascii="Tahoma" w:hAnsi="Tahoma" w:cs="Tahoma"/>
        </w:rPr>
      </w:pPr>
    </w:p>
    <w:p w:rsidR="00DB37A9" w:rsidRDefault="00DB37A9" w:rsidP="00096CAD">
      <w:pPr>
        <w:spacing w:before="0" w:after="0" w:line="228" w:lineRule="auto"/>
        <w:jc w:val="both"/>
        <w:rPr>
          <w:rFonts w:ascii="Tahoma" w:hAnsi="Tahoma" w:cs="Tahoma"/>
        </w:rPr>
      </w:pPr>
    </w:p>
    <w:p w:rsidR="0045545A" w:rsidRDefault="0045545A" w:rsidP="00096CAD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El Municipio de Roncesvalles al finalizar la anualidad 2015, presentó unos </w:t>
      </w:r>
      <w:r w:rsidRPr="0045545A">
        <w:rPr>
          <w:rFonts w:ascii="Tahoma" w:hAnsi="Tahoma" w:cs="Tahoma"/>
          <w:b/>
        </w:rPr>
        <w:t>Activos</w:t>
      </w:r>
      <w:r>
        <w:rPr>
          <w:rFonts w:ascii="Tahoma" w:hAnsi="Tahoma" w:cs="Tahoma"/>
        </w:rPr>
        <w:t xml:space="preserve"> en cuantía de $5.623,6 millones, </w:t>
      </w:r>
      <w:r w:rsidRPr="0045545A">
        <w:rPr>
          <w:rFonts w:ascii="Tahoma" w:hAnsi="Tahoma" w:cs="Tahoma"/>
          <w:b/>
        </w:rPr>
        <w:t xml:space="preserve">Pasivos </w:t>
      </w:r>
      <w:r>
        <w:rPr>
          <w:rFonts w:ascii="Tahoma" w:hAnsi="Tahoma" w:cs="Tahoma"/>
        </w:rPr>
        <w:t xml:space="preserve">por valor de $1.036,6 millones y </w:t>
      </w:r>
      <w:r w:rsidRPr="0045545A">
        <w:rPr>
          <w:rFonts w:ascii="Tahoma" w:hAnsi="Tahoma" w:cs="Tahoma"/>
          <w:b/>
        </w:rPr>
        <w:t>Patrimonio</w:t>
      </w:r>
      <w:r>
        <w:rPr>
          <w:rFonts w:ascii="Tahoma" w:hAnsi="Tahoma" w:cs="Tahoma"/>
        </w:rPr>
        <w:t xml:space="preserve"> por valor de $4.586,9 millones.</w:t>
      </w:r>
    </w:p>
    <w:p w:rsidR="0045545A" w:rsidRDefault="0045545A" w:rsidP="00096CAD">
      <w:pPr>
        <w:spacing w:before="0" w:after="0" w:line="228" w:lineRule="auto"/>
        <w:jc w:val="both"/>
        <w:rPr>
          <w:rFonts w:ascii="Tahoma" w:hAnsi="Tahoma" w:cs="Tahoma"/>
        </w:rPr>
      </w:pPr>
    </w:p>
    <w:p w:rsidR="0045545A" w:rsidRDefault="0045545A" w:rsidP="00096CAD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En el Activo se observa entre las vigencias 2014 y 2015 un incremento del 11% representado en $557 millones al pasar en el 2014 ($5.066,5 millones) al 2015 ($5.623,6 millones.</w:t>
      </w:r>
    </w:p>
    <w:p w:rsidR="0045545A" w:rsidRDefault="0045545A" w:rsidP="00096CAD">
      <w:pPr>
        <w:spacing w:before="0" w:after="0" w:line="228" w:lineRule="auto"/>
        <w:jc w:val="both"/>
        <w:rPr>
          <w:rFonts w:ascii="Tahoma" w:hAnsi="Tahoma" w:cs="Tahoma"/>
        </w:rPr>
      </w:pPr>
    </w:p>
    <w:p w:rsidR="0045545A" w:rsidRDefault="0045545A" w:rsidP="00096CAD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El Activo Corriente para la vigencia 2015 ascendió a $4.377,9 millones el 77.8% del total del activo. El comportamiento de las cuentas del activo corriente entre las dos vigencias fue el siguiente:</w:t>
      </w:r>
    </w:p>
    <w:p w:rsidR="0045545A" w:rsidRDefault="0045545A" w:rsidP="00096CAD">
      <w:pPr>
        <w:spacing w:before="0" w:after="0" w:line="228" w:lineRule="auto"/>
        <w:jc w:val="both"/>
        <w:rPr>
          <w:rFonts w:ascii="Tahoma" w:hAnsi="Tahoma" w:cs="Tahoma"/>
        </w:rPr>
      </w:pPr>
    </w:p>
    <w:p w:rsidR="0045545A" w:rsidRDefault="0045545A" w:rsidP="00096CAD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La cuenta de Efectivo finalizó la vigencia 2015 en $2.470,1 millones, saldo que presentó un crecimiento entre el 2014 y el 2015 del 136.4% representados en $1.425,4 millones.</w:t>
      </w:r>
    </w:p>
    <w:p w:rsidR="0045545A" w:rsidRDefault="0045545A" w:rsidP="00096CAD">
      <w:pPr>
        <w:spacing w:before="0" w:after="0" w:line="228" w:lineRule="auto"/>
        <w:jc w:val="both"/>
        <w:rPr>
          <w:rFonts w:ascii="Tahoma" w:hAnsi="Tahoma" w:cs="Tahoma"/>
        </w:rPr>
      </w:pPr>
    </w:p>
    <w:p w:rsidR="0045545A" w:rsidRDefault="00F5445E" w:rsidP="00096CAD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La cuenta Rentas por Cobrar  que representa el 12.25% sobre el total del activo, presentó un decrecimiento del 0.02% al pasar en el 2014 de $689 millones al 2015 $688.9 millones.  El 100% del saldo de dicha cuenta se contabilizó como vigencias anteriores.</w:t>
      </w:r>
    </w:p>
    <w:p w:rsidR="00F5445E" w:rsidRDefault="00F5445E" w:rsidP="00096CAD">
      <w:pPr>
        <w:spacing w:before="0" w:after="0" w:line="228" w:lineRule="auto"/>
        <w:jc w:val="both"/>
        <w:rPr>
          <w:rFonts w:ascii="Tahoma" w:hAnsi="Tahoma" w:cs="Tahoma"/>
        </w:rPr>
      </w:pPr>
    </w:p>
    <w:p w:rsidR="00F5445E" w:rsidRDefault="00F5445E" w:rsidP="00096CAD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Los Deudores cuenta de mayor representatividad dentro del Activo (21.67%) presentó entre las vigencias 2014 y 2015 un decrecimiento del -41.60% representados en $868,2 millones pasando de un saldo en el 2014 de ($2.087 millones)  a ($1.218,8 millones) en el 2015.</w:t>
      </w:r>
    </w:p>
    <w:p w:rsidR="00F5445E" w:rsidRDefault="00F5445E" w:rsidP="00096CAD">
      <w:pPr>
        <w:spacing w:before="0" w:after="0" w:line="228" w:lineRule="auto"/>
        <w:jc w:val="both"/>
        <w:rPr>
          <w:rFonts w:ascii="Tahoma" w:hAnsi="Tahoma" w:cs="Tahoma"/>
        </w:rPr>
      </w:pPr>
    </w:p>
    <w:p w:rsidR="00F5445E" w:rsidRDefault="00F5445E" w:rsidP="00096CAD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Las cuentas Propiedad, Planta y Equipo </w:t>
      </w:r>
      <w:r w:rsidR="00C50480">
        <w:rPr>
          <w:rFonts w:ascii="Tahoma" w:hAnsi="Tahoma" w:cs="Tahoma"/>
        </w:rPr>
        <w:t>y Bienes de uso público durante las vigencias 2014 y 2015 no presentaron modificaciones en su saldo finalizando el 2015 con el mismo saldo del 2014 cuantificado en $809,8 millones y $164,1 millones respectivamente.</w:t>
      </w:r>
    </w:p>
    <w:p w:rsidR="00C50480" w:rsidRDefault="00C50480" w:rsidP="00096CAD">
      <w:pPr>
        <w:spacing w:before="0" w:after="0" w:line="228" w:lineRule="auto"/>
        <w:jc w:val="both"/>
        <w:rPr>
          <w:rFonts w:ascii="Tahoma" w:hAnsi="Tahoma" w:cs="Tahoma"/>
        </w:rPr>
      </w:pPr>
    </w:p>
    <w:p w:rsidR="00C50480" w:rsidRDefault="00C50480" w:rsidP="00096CAD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Las cuentas del Pasivo presentaron entre el 2014 y 2015 una disminución en su saldo del 32.73%  representados en $504,3 millones pasando de $1.541 millones en el 2014 a $1.036,6 millones en el 2015.</w:t>
      </w:r>
    </w:p>
    <w:p w:rsidR="00C50480" w:rsidRDefault="00C50480" w:rsidP="00096CAD">
      <w:pPr>
        <w:spacing w:before="0" w:after="0" w:line="228" w:lineRule="auto"/>
        <w:jc w:val="both"/>
        <w:rPr>
          <w:rFonts w:ascii="Tahoma" w:hAnsi="Tahoma" w:cs="Tahoma"/>
        </w:rPr>
      </w:pPr>
    </w:p>
    <w:p w:rsidR="00C50480" w:rsidRDefault="00C50480" w:rsidP="00096CAD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Dentro de las cuentas del pasivo corriente, la cuenta de mayor representatividad son las Cuentas por Pagar las cuales representan el 35.9% del total del pasivo.</w:t>
      </w:r>
    </w:p>
    <w:p w:rsidR="0045545A" w:rsidRDefault="0045545A" w:rsidP="00096CAD">
      <w:pPr>
        <w:spacing w:before="0" w:after="0" w:line="228" w:lineRule="auto"/>
        <w:jc w:val="both"/>
        <w:rPr>
          <w:rFonts w:ascii="Tahoma" w:hAnsi="Tahoma" w:cs="Tahoma"/>
        </w:rPr>
      </w:pPr>
    </w:p>
    <w:p w:rsidR="00C50480" w:rsidRDefault="00C50480" w:rsidP="00096CAD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El comportamiento de esta cuenta entre las vigencias 2014 y 2015 presentó una disminución del 58.25% pasando de $892,9 millones en el 2014 a $372,8 millones en el 2015.</w:t>
      </w:r>
    </w:p>
    <w:p w:rsidR="00C50480" w:rsidRDefault="00C50480" w:rsidP="00096CAD">
      <w:pPr>
        <w:spacing w:before="0" w:after="0" w:line="228" w:lineRule="auto"/>
        <w:jc w:val="both"/>
        <w:rPr>
          <w:rFonts w:ascii="Tahoma" w:hAnsi="Tahoma" w:cs="Tahoma"/>
        </w:rPr>
      </w:pPr>
    </w:p>
    <w:p w:rsidR="00C50480" w:rsidRDefault="00C50480" w:rsidP="00096CAD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Las deudas adquiridas por el Municipio de Roncesvalles con la Banca Central, no presentaron disminución en su saldo, finalizando la vigencia 2015 con $148,4 millones.</w:t>
      </w:r>
    </w:p>
    <w:p w:rsidR="00C50480" w:rsidRDefault="00C50480" w:rsidP="00096CAD">
      <w:pPr>
        <w:spacing w:before="0" w:after="0" w:line="228" w:lineRule="auto"/>
        <w:jc w:val="both"/>
        <w:rPr>
          <w:rFonts w:ascii="Tahoma" w:hAnsi="Tahoma" w:cs="Tahoma"/>
        </w:rPr>
      </w:pPr>
    </w:p>
    <w:p w:rsidR="00C50480" w:rsidRDefault="00C50480" w:rsidP="00096CAD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Las cuentas Obligaciones Laborales, disminuyeron el saldo del 2014 al 2015 en un 2% porcentaje que representa la suma de $1,07 millones finalizando de esta forma el 2015 en 52.8 millones.</w:t>
      </w:r>
    </w:p>
    <w:p w:rsidR="00354AA0" w:rsidRDefault="00354AA0" w:rsidP="00096CAD">
      <w:pPr>
        <w:spacing w:before="0" w:after="0" w:line="228" w:lineRule="auto"/>
        <w:jc w:val="both"/>
        <w:rPr>
          <w:rFonts w:ascii="Tahoma" w:hAnsi="Tahoma" w:cs="Tahoma"/>
        </w:rPr>
      </w:pPr>
    </w:p>
    <w:p w:rsidR="00354AA0" w:rsidRDefault="00354AA0" w:rsidP="00096CAD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Finalmente se tiene la cuenta de Pasivos Estimados, cuyo saldo representa el 39.9% del total del pasivo. En cuanto a esta cuenta se tiene que durante las vigencias 2014 y 2015 no existió modificación en el saldo, finalizando la anualidad en $414,3 millones.</w:t>
      </w:r>
    </w:p>
    <w:p w:rsidR="00354AA0" w:rsidRDefault="00354AA0" w:rsidP="00096CAD">
      <w:pPr>
        <w:spacing w:before="0" w:after="0" w:line="228" w:lineRule="auto"/>
        <w:jc w:val="both"/>
        <w:rPr>
          <w:rFonts w:ascii="Tahoma" w:hAnsi="Tahoma" w:cs="Tahoma"/>
        </w:rPr>
      </w:pPr>
    </w:p>
    <w:p w:rsidR="00354AA0" w:rsidRDefault="00354AA0" w:rsidP="00096CAD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El Patrimonio del Municipio incremento su saldo en un 30.11% pasando de  $3.525,5 millones en el 2014 a $4.586,9 millones en el 2015, el resultado obedece al comportamiento que presento la cuenta Hacienda Pública.</w:t>
      </w:r>
    </w:p>
    <w:p w:rsidR="00354AA0" w:rsidRDefault="00354AA0" w:rsidP="00096CAD">
      <w:pPr>
        <w:spacing w:before="0" w:after="0" w:line="228" w:lineRule="auto"/>
        <w:jc w:val="both"/>
        <w:rPr>
          <w:rFonts w:ascii="Tahoma" w:hAnsi="Tahoma" w:cs="Tahoma"/>
        </w:rPr>
      </w:pPr>
    </w:p>
    <w:p w:rsidR="0045545A" w:rsidRDefault="0045545A" w:rsidP="00096CAD">
      <w:pPr>
        <w:spacing w:before="0" w:after="0" w:line="228" w:lineRule="auto"/>
        <w:jc w:val="both"/>
        <w:rPr>
          <w:rFonts w:ascii="Tahoma" w:hAnsi="Tahoma" w:cs="Tahoma"/>
        </w:rPr>
      </w:pPr>
    </w:p>
    <w:p w:rsidR="0045545A" w:rsidRDefault="0045545A" w:rsidP="00096CAD">
      <w:pPr>
        <w:spacing w:before="0" w:after="0" w:line="228" w:lineRule="auto"/>
        <w:jc w:val="both"/>
        <w:rPr>
          <w:rFonts w:ascii="Tahoma" w:hAnsi="Tahoma" w:cs="Tahoma"/>
        </w:rPr>
      </w:pPr>
    </w:p>
    <w:p w:rsidR="0045545A" w:rsidRDefault="0045545A" w:rsidP="00096CAD">
      <w:pPr>
        <w:spacing w:before="0" w:after="0" w:line="228" w:lineRule="auto"/>
        <w:jc w:val="both"/>
        <w:rPr>
          <w:rFonts w:ascii="Tahoma" w:hAnsi="Tahoma" w:cs="Tahoma"/>
        </w:rPr>
      </w:pPr>
    </w:p>
    <w:p w:rsidR="0045545A" w:rsidRDefault="0045545A" w:rsidP="00096CAD">
      <w:pPr>
        <w:spacing w:before="0" w:after="0" w:line="228" w:lineRule="auto"/>
        <w:jc w:val="both"/>
        <w:rPr>
          <w:rFonts w:ascii="Tahoma" w:hAnsi="Tahoma" w:cs="Tahoma"/>
        </w:rPr>
      </w:pPr>
    </w:p>
    <w:p w:rsidR="0045545A" w:rsidRDefault="0045545A" w:rsidP="00096CAD">
      <w:pPr>
        <w:spacing w:before="0" w:after="0" w:line="228" w:lineRule="auto"/>
        <w:jc w:val="both"/>
        <w:rPr>
          <w:rFonts w:ascii="Tahoma" w:hAnsi="Tahoma" w:cs="Tahoma"/>
        </w:rPr>
      </w:pPr>
    </w:p>
    <w:p w:rsidR="0045545A" w:rsidRDefault="0045545A" w:rsidP="00096CAD">
      <w:pPr>
        <w:spacing w:before="0" w:after="0" w:line="228" w:lineRule="auto"/>
        <w:jc w:val="both"/>
        <w:rPr>
          <w:rFonts w:ascii="Tahoma" w:hAnsi="Tahoma" w:cs="Tahoma"/>
        </w:rPr>
      </w:pPr>
    </w:p>
    <w:p w:rsidR="0045545A" w:rsidRDefault="0045545A" w:rsidP="00096CAD">
      <w:pPr>
        <w:spacing w:before="0" w:after="0" w:line="228" w:lineRule="auto"/>
        <w:jc w:val="both"/>
        <w:rPr>
          <w:rFonts w:ascii="Tahoma" w:hAnsi="Tahoma" w:cs="Tahoma"/>
        </w:rPr>
      </w:pPr>
    </w:p>
    <w:p w:rsidR="0045545A" w:rsidRDefault="0045545A" w:rsidP="00096CAD">
      <w:pPr>
        <w:spacing w:before="0" w:after="0" w:line="228" w:lineRule="auto"/>
        <w:jc w:val="both"/>
        <w:rPr>
          <w:rFonts w:ascii="Tahoma" w:hAnsi="Tahoma" w:cs="Tahoma"/>
        </w:rPr>
      </w:pPr>
    </w:p>
    <w:p w:rsidR="0045545A" w:rsidRDefault="0045545A" w:rsidP="00096CAD">
      <w:pPr>
        <w:spacing w:before="0" w:after="0" w:line="228" w:lineRule="auto"/>
        <w:jc w:val="both"/>
        <w:rPr>
          <w:rFonts w:ascii="Tahoma" w:hAnsi="Tahoma" w:cs="Tahoma"/>
        </w:rPr>
      </w:pPr>
    </w:p>
    <w:p w:rsidR="0045545A" w:rsidRDefault="0045545A" w:rsidP="00096CAD">
      <w:pPr>
        <w:spacing w:before="0" w:after="0" w:line="228" w:lineRule="auto"/>
        <w:jc w:val="both"/>
        <w:rPr>
          <w:rFonts w:ascii="Tahoma" w:hAnsi="Tahoma" w:cs="Tahoma"/>
        </w:rPr>
      </w:pPr>
    </w:p>
    <w:p w:rsidR="0045545A" w:rsidRDefault="0045545A" w:rsidP="00096CAD">
      <w:pPr>
        <w:spacing w:before="0" w:after="0" w:line="228" w:lineRule="auto"/>
        <w:jc w:val="both"/>
        <w:rPr>
          <w:rFonts w:ascii="Tahoma" w:hAnsi="Tahoma" w:cs="Tahoma"/>
        </w:rPr>
      </w:pPr>
    </w:p>
    <w:p w:rsidR="00B24CA8" w:rsidRPr="00AD4CE9" w:rsidRDefault="00B24CA8" w:rsidP="00847EEE">
      <w:pPr>
        <w:spacing w:before="0" w:after="0" w:line="228" w:lineRule="auto"/>
        <w:jc w:val="both"/>
        <w:rPr>
          <w:rFonts w:ascii="Tahoma" w:hAnsi="Tahoma" w:cs="Tahoma"/>
        </w:rPr>
      </w:pPr>
    </w:p>
    <w:p w:rsidR="00B24CA8" w:rsidRPr="002443C3" w:rsidRDefault="00B24CA8" w:rsidP="002443C3">
      <w:pPr>
        <w:pStyle w:val="Prrafodelista"/>
        <w:numPr>
          <w:ilvl w:val="0"/>
          <w:numId w:val="1"/>
        </w:numPr>
        <w:spacing w:before="0" w:after="0" w:line="228" w:lineRule="auto"/>
        <w:rPr>
          <w:rFonts w:ascii="Tahoma" w:hAnsi="Tahoma" w:cs="Tahoma"/>
          <w:b/>
        </w:rPr>
      </w:pPr>
      <w:r w:rsidRPr="002443C3">
        <w:rPr>
          <w:rFonts w:ascii="Tahoma" w:hAnsi="Tahoma" w:cs="Tahoma"/>
          <w:b/>
        </w:rPr>
        <w:lastRenderedPageBreak/>
        <w:t>ESTADO DE ACTIVIDAD FINANCIERA, ECONÓMICA, SOCIAL Y AMBIENTAL COMPARATIVO</w:t>
      </w:r>
    </w:p>
    <w:p w:rsidR="000971C2" w:rsidRDefault="000971C2" w:rsidP="00B24CA8">
      <w:pPr>
        <w:pStyle w:val="Prrafodelista"/>
        <w:spacing w:before="0" w:after="0" w:line="228" w:lineRule="auto"/>
        <w:rPr>
          <w:noProof/>
        </w:rPr>
      </w:pPr>
    </w:p>
    <w:p w:rsidR="00354AA0" w:rsidRDefault="00354AA0" w:rsidP="00B24CA8">
      <w:pPr>
        <w:pStyle w:val="Prrafodelista"/>
        <w:spacing w:before="0" w:after="0" w:line="228" w:lineRule="auto"/>
        <w:rPr>
          <w:noProof/>
        </w:rPr>
      </w:pPr>
    </w:p>
    <w:p w:rsidR="00354AA0" w:rsidRDefault="00354AA0" w:rsidP="00B24CA8">
      <w:pPr>
        <w:pStyle w:val="Prrafodelista"/>
        <w:spacing w:before="0" w:after="0" w:line="228" w:lineRule="auto"/>
        <w:rPr>
          <w:noProof/>
        </w:rPr>
      </w:pPr>
      <w:r w:rsidRPr="00354AA0">
        <w:rPr>
          <w:noProof/>
        </w:rPr>
        <w:drawing>
          <wp:inline distT="0" distB="0" distL="0" distR="0" wp14:anchorId="67C214A0" wp14:editId="1B9E29A6">
            <wp:extent cx="5613400" cy="5269380"/>
            <wp:effectExtent l="0" t="0" r="6350" b="762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5269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4AA0" w:rsidRDefault="00354AA0" w:rsidP="00B24CA8">
      <w:pPr>
        <w:pStyle w:val="Prrafodelista"/>
        <w:spacing w:before="0" w:after="0" w:line="228" w:lineRule="auto"/>
        <w:rPr>
          <w:noProof/>
        </w:rPr>
      </w:pPr>
    </w:p>
    <w:p w:rsidR="00354AA0" w:rsidRDefault="00354AA0" w:rsidP="00B24CA8">
      <w:pPr>
        <w:pStyle w:val="Prrafodelista"/>
        <w:spacing w:before="0" w:after="0" w:line="228" w:lineRule="auto"/>
        <w:rPr>
          <w:noProof/>
        </w:rPr>
      </w:pPr>
    </w:p>
    <w:p w:rsidR="00354AA0" w:rsidRDefault="00354AA0" w:rsidP="00B24CA8">
      <w:pPr>
        <w:pStyle w:val="Prrafodelista"/>
        <w:spacing w:before="0" w:after="0" w:line="228" w:lineRule="auto"/>
        <w:rPr>
          <w:noProof/>
        </w:rPr>
      </w:pPr>
    </w:p>
    <w:p w:rsidR="00354AA0" w:rsidRDefault="00354AA0" w:rsidP="00B24CA8">
      <w:pPr>
        <w:pStyle w:val="Prrafodelista"/>
        <w:spacing w:before="0" w:after="0" w:line="228" w:lineRule="auto"/>
        <w:rPr>
          <w:noProof/>
        </w:rPr>
      </w:pPr>
    </w:p>
    <w:p w:rsidR="00354AA0" w:rsidRDefault="00354AA0" w:rsidP="00B24CA8">
      <w:pPr>
        <w:pStyle w:val="Prrafodelista"/>
        <w:spacing w:before="0" w:after="0" w:line="228" w:lineRule="auto"/>
        <w:rPr>
          <w:noProof/>
        </w:rPr>
      </w:pPr>
    </w:p>
    <w:p w:rsidR="00354AA0" w:rsidRDefault="00354AA0" w:rsidP="00B24CA8">
      <w:pPr>
        <w:pStyle w:val="Prrafodelista"/>
        <w:spacing w:before="0" w:after="0" w:line="228" w:lineRule="auto"/>
        <w:rPr>
          <w:noProof/>
        </w:rPr>
      </w:pPr>
      <w:r>
        <w:rPr>
          <w:noProof/>
        </w:rPr>
        <w:lastRenderedPageBreak/>
        <w:drawing>
          <wp:inline distT="0" distB="0" distL="0" distR="0" wp14:anchorId="6433170D">
            <wp:extent cx="4584700" cy="3066415"/>
            <wp:effectExtent l="0" t="0" r="6350" b="635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306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54AA0" w:rsidRDefault="00354AA0" w:rsidP="00B24CA8">
      <w:pPr>
        <w:pStyle w:val="Prrafodelista"/>
        <w:spacing w:before="0" w:after="0" w:line="228" w:lineRule="auto"/>
        <w:rPr>
          <w:noProof/>
        </w:rPr>
      </w:pPr>
    </w:p>
    <w:p w:rsidR="00354AA0" w:rsidRDefault="00354AA0" w:rsidP="00B24CA8">
      <w:pPr>
        <w:pStyle w:val="Prrafodelista"/>
        <w:spacing w:before="0" w:after="0" w:line="228" w:lineRule="auto"/>
        <w:rPr>
          <w:noProof/>
        </w:rPr>
      </w:pPr>
    </w:p>
    <w:p w:rsidR="00354AA0" w:rsidRDefault="00CB5EF2" w:rsidP="00CB5EF2">
      <w:pPr>
        <w:pStyle w:val="Prrafodelista"/>
        <w:spacing w:before="0" w:after="0" w:line="228" w:lineRule="auto"/>
        <w:jc w:val="both"/>
        <w:rPr>
          <w:noProof/>
        </w:rPr>
      </w:pPr>
      <w:r>
        <w:rPr>
          <w:noProof/>
        </w:rPr>
        <w:t>En  la Estructura Financiera del Municipio de Roncesvalles, se puede establecer que el Ente Territorial percibió durante la anualidad 2015 ingresos en cuantía de $4.449,4 millones, presentando un incremnento del 11.34% ($453 millones) mas de lo obtenido en la vigencia 2014, finalizando la anualidad con ingresos de $3.996, 4 millones.</w:t>
      </w:r>
    </w:p>
    <w:p w:rsidR="00354AA0" w:rsidRDefault="00354AA0" w:rsidP="00B24CA8">
      <w:pPr>
        <w:pStyle w:val="Prrafodelista"/>
        <w:spacing w:before="0" w:after="0" w:line="228" w:lineRule="auto"/>
        <w:rPr>
          <w:noProof/>
        </w:rPr>
      </w:pPr>
    </w:p>
    <w:p w:rsidR="00354AA0" w:rsidRDefault="00CB5EF2" w:rsidP="00830982">
      <w:pPr>
        <w:pStyle w:val="Prrafodelista"/>
        <w:spacing w:before="0" w:after="0" w:line="228" w:lineRule="auto"/>
        <w:jc w:val="both"/>
        <w:rPr>
          <w:noProof/>
        </w:rPr>
      </w:pPr>
      <w:r>
        <w:rPr>
          <w:noProof/>
        </w:rPr>
        <w:t>Dentro de la composición de los ingresos se establece que el 6% corresponde a ingresos fiscales ($271.11 millones)</w:t>
      </w:r>
      <w:r w:rsidR="00830982">
        <w:rPr>
          <w:noProof/>
        </w:rPr>
        <w:t xml:space="preserve"> saldo que fue incrementado  entre el 2014 y el 2015 en $47.3 millones.  Dentro de este grupo el 74.46% ($201.879 millones) corresponde a Ingresos Tributarios  y el saldo restante 25.54% a Ingresos No Tributarios cuyo incremento entre las dos vigencias ascendió al 0.24%, finalizando de esta forma el saldo de la vigencia en 69.2 millones.</w:t>
      </w:r>
    </w:p>
    <w:p w:rsidR="00830982" w:rsidRDefault="00830982" w:rsidP="00830982">
      <w:pPr>
        <w:pStyle w:val="Prrafodelista"/>
        <w:spacing w:before="0" w:after="0" w:line="228" w:lineRule="auto"/>
        <w:jc w:val="both"/>
        <w:rPr>
          <w:noProof/>
        </w:rPr>
      </w:pPr>
    </w:p>
    <w:p w:rsidR="00830982" w:rsidRDefault="00830982" w:rsidP="00830982">
      <w:pPr>
        <w:pStyle w:val="Prrafodelista"/>
        <w:spacing w:before="0" w:after="0" w:line="228" w:lineRule="auto"/>
        <w:jc w:val="both"/>
        <w:rPr>
          <w:noProof/>
        </w:rPr>
      </w:pPr>
      <w:r>
        <w:rPr>
          <w:noProof/>
        </w:rPr>
        <w:t>Las Transferencias dentro de la estructura de los ingresos representa el 93% de los Ingresos del Municipio cuenta que presenta un crecimiento del 10.75% al pasar de $3.772,7 millones en el 2014 a $4.178,2 millones en el 2015.</w:t>
      </w:r>
    </w:p>
    <w:p w:rsidR="00830982" w:rsidRDefault="00830982" w:rsidP="00830982">
      <w:pPr>
        <w:pStyle w:val="Prrafodelista"/>
        <w:spacing w:before="0" w:after="0" w:line="228" w:lineRule="auto"/>
        <w:jc w:val="both"/>
        <w:rPr>
          <w:noProof/>
        </w:rPr>
      </w:pPr>
    </w:p>
    <w:p w:rsidR="00830982" w:rsidRDefault="00830982" w:rsidP="00830982">
      <w:pPr>
        <w:pStyle w:val="Prrafodelista"/>
        <w:spacing w:before="0" w:after="0" w:line="228" w:lineRule="auto"/>
        <w:jc w:val="both"/>
        <w:rPr>
          <w:noProof/>
        </w:rPr>
      </w:pPr>
      <w:r>
        <w:rPr>
          <w:noProof/>
        </w:rPr>
        <w:t>Los Recursos provenientes del Sistema General de Participaciones, finalizó la anualidad en $3.422 millones, saldo que no presenta ninguna variación entre el 2014 y el 2015.</w:t>
      </w:r>
    </w:p>
    <w:p w:rsidR="006C2980" w:rsidRDefault="006C2980" w:rsidP="00830982">
      <w:pPr>
        <w:pStyle w:val="Prrafodelista"/>
        <w:spacing w:before="0" w:after="0" w:line="228" w:lineRule="auto"/>
        <w:jc w:val="both"/>
        <w:rPr>
          <w:noProof/>
        </w:rPr>
      </w:pPr>
    </w:p>
    <w:p w:rsidR="006C2980" w:rsidRDefault="006C2980" w:rsidP="00830982">
      <w:pPr>
        <w:pStyle w:val="Prrafodelista"/>
        <w:spacing w:before="0" w:after="0" w:line="228" w:lineRule="auto"/>
        <w:jc w:val="both"/>
        <w:rPr>
          <w:noProof/>
        </w:rPr>
      </w:pPr>
      <w:r>
        <w:rPr>
          <w:noProof/>
        </w:rPr>
        <w:t xml:space="preserve">En la vigencia 2015 los sectores mas favorecidos con los recursos del Sistema General de Participaciones fue el sector Salud, cuyo porcentaje de participación </w:t>
      </w:r>
      <w:r>
        <w:rPr>
          <w:noProof/>
        </w:rPr>
        <w:lastRenderedPageBreak/>
        <w:t>fue el 33.5% ($1.147,8 millones), cuenta que incrementó el saldo entre el 2014 y el 2015 en un 6.03%.</w:t>
      </w:r>
    </w:p>
    <w:p w:rsidR="006C2980" w:rsidRDefault="006C2980" w:rsidP="00830982">
      <w:pPr>
        <w:pStyle w:val="Prrafodelista"/>
        <w:spacing w:before="0" w:after="0" w:line="228" w:lineRule="auto"/>
        <w:jc w:val="both"/>
        <w:rPr>
          <w:noProof/>
        </w:rPr>
      </w:pPr>
    </w:p>
    <w:p w:rsidR="006C2980" w:rsidRDefault="006C2980" w:rsidP="00830982">
      <w:pPr>
        <w:pStyle w:val="Prrafodelista"/>
        <w:spacing w:before="0" w:after="0" w:line="228" w:lineRule="auto"/>
        <w:jc w:val="both"/>
        <w:rPr>
          <w:noProof/>
        </w:rPr>
      </w:pPr>
      <w:r>
        <w:rPr>
          <w:noProof/>
        </w:rPr>
        <w:t>La cuenta Proposito General obtuvo el 32.51% ($1.112,8 millones) cuenta que disminuyo sus recursos en el 43.15% pasando de un  saldo en el 2014 de ($1.957,3 millones) a ($1.112,8 millones) en el 2015.</w:t>
      </w:r>
    </w:p>
    <w:p w:rsidR="00354AA0" w:rsidRDefault="00354AA0" w:rsidP="00B24CA8">
      <w:pPr>
        <w:pStyle w:val="Prrafodelista"/>
        <w:spacing w:before="0" w:after="0" w:line="228" w:lineRule="auto"/>
        <w:rPr>
          <w:noProof/>
        </w:rPr>
      </w:pPr>
    </w:p>
    <w:p w:rsidR="00354AA0" w:rsidRDefault="006C2980" w:rsidP="00F021E4">
      <w:pPr>
        <w:pStyle w:val="Prrafodelista"/>
        <w:spacing w:before="0" w:after="0" w:line="228" w:lineRule="auto"/>
        <w:jc w:val="both"/>
        <w:rPr>
          <w:noProof/>
        </w:rPr>
      </w:pPr>
      <w:r>
        <w:rPr>
          <w:noProof/>
        </w:rPr>
        <w:t xml:space="preserve">El sector Educación finalizó la vigencia de 2015 con un saldo de $301 millones, cuantía que disminuyo </w:t>
      </w:r>
      <w:r w:rsidR="00F021E4">
        <w:rPr>
          <w:noProof/>
        </w:rPr>
        <w:t>en un 6.37% pasando en el 2014 de ($321.5 millones) al 2015 con ($301 millones).</w:t>
      </w:r>
    </w:p>
    <w:p w:rsidR="00F021E4" w:rsidRDefault="00F021E4" w:rsidP="00F021E4">
      <w:pPr>
        <w:pStyle w:val="Prrafodelista"/>
        <w:spacing w:before="0" w:after="0" w:line="228" w:lineRule="auto"/>
        <w:jc w:val="both"/>
        <w:rPr>
          <w:noProof/>
        </w:rPr>
      </w:pPr>
    </w:p>
    <w:p w:rsidR="00F021E4" w:rsidRDefault="00F021E4" w:rsidP="00F021E4">
      <w:pPr>
        <w:pStyle w:val="Prrafodelista"/>
        <w:spacing w:before="0" w:after="0" w:line="228" w:lineRule="auto"/>
        <w:jc w:val="both"/>
        <w:rPr>
          <w:noProof/>
        </w:rPr>
      </w:pPr>
      <w:r>
        <w:rPr>
          <w:noProof/>
        </w:rPr>
        <w:t>Los sectores de Alimentación Escolar, Agua Potable y Atención Integral a la Primera Infancia  a los cuales solo se le asignó el 0.8%, el 11.28% y 0.76%  del total recibido por el Sistema General de Participaciones, presentaron incrementos porcentuales del 4.64%, 3.15% y 100% finalizando de esta forma la vigencia 2015 con saldos de ($28.5 millones), ($386.2 millones) y ($26.1 millones) respectivamente.</w:t>
      </w:r>
    </w:p>
    <w:p w:rsidR="00F021E4" w:rsidRDefault="00F021E4" w:rsidP="00F021E4">
      <w:pPr>
        <w:pStyle w:val="Prrafodelista"/>
        <w:spacing w:before="0" w:after="0" w:line="228" w:lineRule="auto"/>
        <w:jc w:val="both"/>
        <w:rPr>
          <w:noProof/>
        </w:rPr>
      </w:pPr>
    </w:p>
    <w:p w:rsidR="00F021E4" w:rsidRDefault="00F021E4" w:rsidP="00F021E4">
      <w:pPr>
        <w:pStyle w:val="Prrafodelista"/>
        <w:spacing w:before="0" w:after="0" w:line="228" w:lineRule="auto"/>
        <w:jc w:val="both"/>
        <w:rPr>
          <w:noProof/>
        </w:rPr>
      </w:pPr>
      <w:r>
        <w:rPr>
          <w:noProof/>
        </w:rPr>
        <w:t>En la vigencia 2015, el municipio obtuvo ingresos por concepto de Regalías en cuantía de $756.1 millones recursos que no habían sido asignados en el 2014.</w:t>
      </w:r>
    </w:p>
    <w:p w:rsidR="00F021E4" w:rsidRDefault="00F021E4" w:rsidP="00F021E4">
      <w:pPr>
        <w:pStyle w:val="Prrafodelista"/>
        <w:spacing w:before="0" w:after="0" w:line="228" w:lineRule="auto"/>
        <w:jc w:val="both"/>
        <w:rPr>
          <w:noProof/>
        </w:rPr>
      </w:pPr>
    </w:p>
    <w:p w:rsidR="00F021E4" w:rsidRDefault="00F021E4" w:rsidP="00F021E4">
      <w:pPr>
        <w:pStyle w:val="Prrafodelista"/>
        <w:spacing w:before="0" w:after="0" w:line="228" w:lineRule="auto"/>
        <w:jc w:val="both"/>
        <w:rPr>
          <w:noProof/>
        </w:rPr>
      </w:pPr>
      <w:r>
        <w:rPr>
          <w:noProof/>
        </w:rPr>
        <w:t xml:space="preserve">Los gastos cuantificados en el 2015, ascendieron a $3.388 millones, con un incremento del 63.05% frente a lo contabilizado </w:t>
      </w:r>
      <w:r w:rsidR="007D4191">
        <w:rPr>
          <w:noProof/>
        </w:rPr>
        <w:t>en el 2014, cuya anualidad finalizó en $2.077,9 millones.</w:t>
      </w:r>
    </w:p>
    <w:p w:rsidR="007D4191" w:rsidRDefault="007D4191" w:rsidP="00F021E4">
      <w:pPr>
        <w:pStyle w:val="Prrafodelista"/>
        <w:spacing w:before="0" w:after="0" w:line="228" w:lineRule="auto"/>
        <w:jc w:val="both"/>
        <w:rPr>
          <w:noProof/>
        </w:rPr>
      </w:pPr>
    </w:p>
    <w:p w:rsidR="007D4191" w:rsidRDefault="007D4191" w:rsidP="00F021E4">
      <w:pPr>
        <w:pStyle w:val="Prrafodelista"/>
        <w:spacing w:before="0" w:after="0" w:line="228" w:lineRule="auto"/>
        <w:jc w:val="both"/>
        <w:rPr>
          <w:noProof/>
        </w:rPr>
      </w:pPr>
      <w:r>
        <w:rPr>
          <w:noProof/>
        </w:rPr>
        <w:t>Dentro de este grupo las cuentas de mayor representatividad es el “Gasto Público Social” el cual representa el 50.6%  del total de los gastos, cuenta que presenta un incremento del 139.4% pasando en el 2014 ($716,3 millones) a ($1.715,2 millones en el 2015).</w:t>
      </w:r>
    </w:p>
    <w:p w:rsidR="007D4191" w:rsidRDefault="007D4191" w:rsidP="00F021E4">
      <w:pPr>
        <w:pStyle w:val="Prrafodelista"/>
        <w:spacing w:before="0" w:after="0" w:line="228" w:lineRule="auto"/>
        <w:jc w:val="both"/>
        <w:rPr>
          <w:noProof/>
        </w:rPr>
      </w:pPr>
    </w:p>
    <w:p w:rsidR="00110EA7" w:rsidRPr="007D4191" w:rsidRDefault="007D4191" w:rsidP="007D4191">
      <w:pPr>
        <w:pStyle w:val="Prrafodelista"/>
        <w:spacing w:before="0" w:after="0" w:line="228" w:lineRule="auto"/>
        <w:jc w:val="both"/>
        <w:rPr>
          <w:noProof/>
        </w:rPr>
      </w:pPr>
      <w:r>
        <w:rPr>
          <w:noProof/>
        </w:rPr>
        <w:t>El sector que mayor demando gastos fue el de Salud, pues entre el 2014 y el 2015 obtuvo una variación del 1.571,5% pasando de 69,4 millones en el 2014 a $1.161,03 millones en el 2015.</w:t>
      </w:r>
    </w:p>
    <w:p w:rsidR="00B66376" w:rsidRDefault="00B66376" w:rsidP="00AD4CE9">
      <w:pPr>
        <w:spacing w:before="0" w:after="0" w:line="228" w:lineRule="auto"/>
        <w:rPr>
          <w:rFonts w:ascii="Tahoma" w:hAnsi="Tahoma" w:cs="Tahoma"/>
        </w:rPr>
      </w:pPr>
    </w:p>
    <w:p w:rsidR="00DF519D" w:rsidRDefault="00DF519D" w:rsidP="00AD4CE9">
      <w:pPr>
        <w:spacing w:before="0" w:after="0" w:line="228" w:lineRule="auto"/>
        <w:rPr>
          <w:rFonts w:ascii="Tahoma" w:hAnsi="Tahoma" w:cs="Tahoma"/>
        </w:rPr>
      </w:pPr>
    </w:p>
    <w:p w:rsidR="00BC5D7D" w:rsidRPr="00AD4CE9" w:rsidRDefault="00814D3D" w:rsidP="002443C3">
      <w:pPr>
        <w:pStyle w:val="Prrafodelista"/>
        <w:numPr>
          <w:ilvl w:val="0"/>
          <w:numId w:val="1"/>
        </w:numPr>
        <w:spacing w:before="0" w:after="0" w:line="228" w:lineRule="auto"/>
        <w:rPr>
          <w:rFonts w:ascii="Tahoma" w:hAnsi="Tahoma" w:cs="Tahoma"/>
          <w:b/>
        </w:rPr>
      </w:pPr>
      <w:r w:rsidRPr="00AD4CE9">
        <w:rPr>
          <w:rFonts w:ascii="Tahoma" w:hAnsi="Tahoma" w:cs="Tahoma"/>
          <w:b/>
        </w:rPr>
        <w:t>APLICACIÓN DE INDICADORES FINANCIEROS</w:t>
      </w:r>
    </w:p>
    <w:p w:rsidR="00814D3D" w:rsidRPr="00AD4CE9" w:rsidRDefault="00814D3D" w:rsidP="00AD4CE9">
      <w:pPr>
        <w:spacing w:before="0" w:after="0" w:line="228" w:lineRule="auto"/>
        <w:rPr>
          <w:rFonts w:ascii="Tahoma" w:hAnsi="Tahoma" w:cs="Tahoma"/>
        </w:rPr>
      </w:pPr>
    </w:p>
    <w:p w:rsidR="00814D3D" w:rsidRPr="00AD4CE9" w:rsidRDefault="00814D3D" w:rsidP="002443C3">
      <w:pPr>
        <w:pStyle w:val="Prrafodelista"/>
        <w:numPr>
          <w:ilvl w:val="1"/>
          <w:numId w:val="1"/>
        </w:numPr>
        <w:spacing w:before="0" w:after="0" w:line="228" w:lineRule="auto"/>
        <w:rPr>
          <w:rFonts w:ascii="Tahoma" w:hAnsi="Tahoma" w:cs="Tahoma"/>
        </w:rPr>
      </w:pPr>
      <w:r w:rsidRPr="00AD4CE9">
        <w:rPr>
          <w:rFonts w:ascii="Tahoma" w:hAnsi="Tahoma" w:cs="Tahoma"/>
        </w:rPr>
        <w:t>Indicadores de liquidez y Solvencia</w:t>
      </w:r>
    </w:p>
    <w:p w:rsidR="00814D3D" w:rsidRPr="00AD4CE9" w:rsidRDefault="00814D3D" w:rsidP="00AD4CE9">
      <w:pPr>
        <w:spacing w:before="0" w:after="0" w:line="228" w:lineRule="auto"/>
        <w:rPr>
          <w:rFonts w:ascii="Tahoma" w:hAnsi="Tahoma" w:cs="Tahoma"/>
        </w:rPr>
      </w:pPr>
    </w:p>
    <w:p w:rsidR="00814D3D" w:rsidRPr="00AD4CE9" w:rsidRDefault="00160B31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Razón</w:t>
      </w:r>
      <w:r w:rsidR="00814D3D" w:rsidRPr="00AD4CE9">
        <w:rPr>
          <w:rFonts w:ascii="Tahoma" w:hAnsi="Tahoma" w:cs="Tahoma"/>
        </w:rPr>
        <w:t xml:space="preserve"> Corriente: nos muestra la capacidad que tiene la entidad</w:t>
      </w:r>
      <w:r w:rsidRPr="00AD4CE9">
        <w:rPr>
          <w:rFonts w:ascii="Tahoma" w:hAnsi="Tahoma" w:cs="Tahoma"/>
        </w:rPr>
        <w:t xml:space="preserve"> para cubrir sus deudas en el corto plazo, ya que indica por cada peso que se debe, con cuantos se cuenta para respaldarlo.</w:t>
      </w:r>
    </w:p>
    <w:p w:rsidR="00160B31" w:rsidRPr="00AD4CE9" w:rsidRDefault="00160B31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160B31" w:rsidRPr="00AD4CE9" w:rsidRDefault="00160B31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Formula: Activo Corriente / Pasivo Corriente</w:t>
      </w:r>
    </w:p>
    <w:p w:rsidR="00160B31" w:rsidRPr="00AD4CE9" w:rsidRDefault="00160B31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160B31" w:rsidRPr="00AD4CE9" w:rsidRDefault="00160B31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Activo Corriente:</w:t>
      </w:r>
    </w:p>
    <w:p w:rsidR="00160B31" w:rsidRPr="00AD4CE9" w:rsidRDefault="00556949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Efectivo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$</w:t>
      </w:r>
      <w:r w:rsidR="00BB78BA">
        <w:rPr>
          <w:rFonts w:ascii="Tahoma" w:hAnsi="Tahoma" w:cs="Tahoma"/>
        </w:rPr>
        <w:t>2.470.145</w:t>
      </w:r>
    </w:p>
    <w:p w:rsidR="00160B31" w:rsidRPr="00AD4CE9" w:rsidRDefault="00556949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Renta por Cobrar</w:t>
      </w:r>
      <w:r>
        <w:rPr>
          <w:rFonts w:ascii="Tahoma" w:hAnsi="Tahoma" w:cs="Tahoma"/>
        </w:rPr>
        <w:tab/>
        <w:t xml:space="preserve">  </w:t>
      </w:r>
      <w:r w:rsidR="00BB78BA">
        <w:rPr>
          <w:rFonts w:ascii="Tahoma" w:hAnsi="Tahoma" w:cs="Tahoma"/>
        </w:rPr>
        <w:t xml:space="preserve">  688.949</w:t>
      </w:r>
    </w:p>
    <w:p w:rsidR="001666F5" w:rsidRPr="00AD4CE9" w:rsidRDefault="001666F5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Deudores</w:t>
      </w:r>
      <w:r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ab/>
        <w:t xml:space="preserve"> </w:t>
      </w:r>
      <w:r w:rsidR="00BB78BA">
        <w:rPr>
          <w:rFonts w:ascii="Tahoma" w:hAnsi="Tahoma" w:cs="Tahoma"/>
        </w:rPr>
        <w:t xml:space="preserve"> 1.218.877</w:t>
      </w:r>
      <w:r w:rsidR="003D5BDF">
        <w:rPr>
          <w:rFonts w:ascii="Tahoma" w:hAnsi="Tahoma" w:cs="Tahoma"/>
        </w:rPr>
        <w:t xml:space="preserve"> </w:t>
      </w:r>
    </w:p>
    <w:p w:rsidR="001666F5" w:rsidRPr="00AD4CE9" w:rsidRDefault="001666F5" w:rsidP="00AD4CE9">
      <w:pPr>
        <w:spacing w:before="0" w:after="0" w:line="228" w:lineRule="auto"/>
        <w:rPr>
          <w:rFonts w:ascii="Tahoma" w:hAnsi="Tahoma" w:cs="Tahoma"/>
        </w:rPr>
      </w:pPr>
      <w:r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ab/>
        <w:t>----------------</w:t>
      </w:r>
      <w:r w:rsidR="000467A1" w:rsidRPr="00AD4CE9">
        <w:rPr>
          <w:rFonts w:ascii="Tahoma" w:hAnsi="Tahoma" w:cs="Tahoma"/>
        </w:rPr>
        <w:t>----</w:t>
      </w:r>
    </w:p>
    <w:p w:rsidR="001666F5" w:rsidRPr="00AD4CE9" w:rsidRDefault="003108E9" w:rsidP="00AD4CE9">
      <w:pPr>
        <w:spacing w:before="0" w:after="0" w:line="228" w:lineRule="auto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BB78BA">
        <w:rPr>
          <w:rFonts w:ascii="Tahoma" w:hAnsi="Tahoma" w:cs="Tahoma"/>
        </w:rPr>
        <w:t xml:space="preserve"> $4.377.971</w:t>
      </w:r>
    </w:p>
    <w:p w:rsidR="001666F5" w:rsidRPr="00AD4CE9" w:rsidRDefault="001666F5" w:rsidP="00AD4CE9">
      <w:pPr>
        <w:spacing w:before="0" w:after="0" w:line="228" w:lineRule="auto"/>
        <w:rPr>
          <w:rFonts w:ascii="Tahoma" w:hAnsi="Tahoma" w:cs="Tahoma"/>
        </w:rPr>
      </w:pPr>
    </w:p>
    <w:p w:rsidR="001666F5" w:rsidRPr="00AD4CE9" w:rsidRDefault="001666F5" w:rsidP="00AD4CE9">
      <w:pPr>
        <w:spacing w:before="0" w:after="0" w:line="228" w:lineRule="auto"/>
        <w:rPr>
          <w:rFonts w:ascii="Tahoma" w:hAnsi="Tahoma" w:cs="Tahoma"/>
        </w:rPr>
      </w:pPr>
      <w:r w:rsidRPr="00AD4CE9">
        <w:rPr>
          <w:rFonts w:ascii="Tahoma" w:hAnsi="Tahoma" w:cs="Tahoma"/>
        </w:rPr>
        <w:t>Pasivo Corriente:</w:t>
      </w:r>
    </w:p>
    <w:p w:rsidR="001666F5" w:rsidRPr="00AD4CE9" w:rsidRDefault="001666F5" w:rsidP="00AD4CE9">
      <w:pPr>
        <w:spacing w:before="0" w:after="0" w:line="228" w:lineRule="auto"/>
        <w:rPr>
          <w:rFonts w:ascii="Tahoma" w:hAnsi="Tahoma" w:cs="Tahoma"/>
        </w:rPr>
      </w:pPr>
      <w:r w:rsidRPr="00AD4CE9">
        <w:rPr>
          <w:rFonts w:ascii="Tahoma" w:hAnsi="Tahoma" w:cs="Tahoma"/>
        </w:rPr>
        <w:t>Op</w:t>
      </w:r>
      <w:r w:rsidR="000467A1" w:rsidRPr="00AD4CE9">
        <w:rPr>
          <w:rFonts w:ascii="Tahoma" w:hAnsi="Tahoma" w:cs="Tahoma"/>
        </w:rPr>
        <w:t>eracion</w:t>
      </w:r>
      <w:r w:rsidR="003D5BDF">
        <w:rPr>
          <w:rFonts w:ascii="Tahoma" w:hAnsi="Tahoma" w:cs="Tahoma"/>
        </w:rPr>
        <w:t xml:space="preserve">es </w:t>
      </w:r>
      <w:r w:rsidR="00B66376">
        <w:rPr>
          <w:rFonts w:ascii="Tahoma" w:hAnsi="Tahoma" w:cs="Tahoma"/>
        </w:rPr>
        <w:t>de crédito publico</w:t>
      </w:r>
      <w:r w:rsidR="00B66376">
        <w:rPr>
          <w:rFonts w:ascii="Tahoma" w:hAnsi="Tahoma" w:cs="Tahoma"/>
        </w:rPr>
        <w:tab/>
      </w:r>
      <w:r w:rsidR="00310359">
        <w:rPr>
          <w:rFonts w:ascii="Tahoma" w:hAnsi="Tahoma" w:cs="Tahoma"/>
        </w:rPr>
        <w:t xml:space="preserve">            </w:t>
      </w:r>
      <w:r w:rsidR="00B66376">
        <w:rPr>
          <w:rFonts w:ascii="Tahoma" w:hAnsi="Tahoma" w:cs="Tahoma"/>
        </w:rPr>
        <w:t>$</w:t>
      </w:r>
      <w:r w:rsidR="00BB78BA">
        <w:rPr>
          <w:rFonts w:ascii="Tahoma" w:hAnsi="Tahoma" w:cs="Tahoma"/>
        </w:rPr>
        <w:t xml:space="preserve">  148.473</w:t>
      </w:r>
    </w:p>
    <w:p w:rsidR="001666F5" w:rsidRPr="00AD4CE9" w:rsidRDefault="0083318E" w:rsidP="00AD4CE9">
      <w:pPr>
        <w:spacing w:before="0" w:after="0" w:line="228" w:lineRule="auto"/>
        <w:rPr>
          <w:rFonts w:ascii="Tahoma" w:hAnsi="Tahoma" w:cs="Tahoma"/>
        </w:rPr>
      </w:pPr>
      <w:r>
        <w:rPr>
          <w:rFonts w:ascii="Tahoma" w:hAnsi="Tahoma" w:cs="Tahoma"/>
        </w:rPr>
        <w:t>Cu</w:t>
      </w:r>
      <w:r w:rsidR="00BB78BA">
        <w:rPr>
          <w:rFonts w:ascii="Tahoma" w:hAnsi="Tahoma" w:cs="Tahoma"/>
        </w:rPr>
        <w:t>entas por Pagar</w:t>
      </w:r>
      <w:r w:rsidR="00BB78BA">
        <w:rPr>
          <w:rFonts w:ascii="Tahoma" w:hAnsi="Tahoma" w:cs="Tahoma"/>
        </w:rPr>
        <w:tab/>
      </w:r>
      <w:r w:rsidR="00BB78BA">
        <w:rPr>
          <w:rFonts w:ascii="Tahoma" w:hAnsi="Tahoma" w:cs="Tahoma"/>
        </w:rPr>
        <w:tab/>
      </w:r>
      <w:r w:rsidR="00BB78BA">
        <w:rPr>
          <w:rFonts w:ascii="Tahoma" w:hAnsi="Tahoma" w:cs="Tahoma"/>
        </w:rPr>
        <w:tab/>
      </w:r>
      <w:r w:rsidR="00BB78BA">
        <w:rPr>
          <w:rFonts w:ascii="Tahoma" w:hAnsi="Tahoma" w:cs="Tahoma"/>
        </w:rPr>
        <w:tab/>
        <w:t xml:space="preserve">      372.806</w:t>
      </w:r>
    </w:p>
    <w:p w:rsidR="001666F5" w:rsidRPr="00AD4CE9" w:rsidRDefault="001666F5" w:rsidP="00AD4CE9">
      <w:pPr>
        <w:spacing w:before="0" w:after="0" w:line="228" w:lineRule="auto"/>
        <w:rPr>
          <w:rFonts w:ascii="Tahoma" w:hAnsi="Tahoma" w:cs="Tahoma"/>
        </w:rPr>
      </w:pPr>
      <w:r w:rsidRPr="00AD4CE9">
        <w:rPr>
          <w:rFonts w:ascii="Tahoma" w:hAnsi="Tahoma" w:cs="Tahoma"/>
        </w:rPr>
        <w:t>Obligaciones Laborales</w:t>
      </w:r>
      <w:r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ab/>
      </w:r>
      <w:r w:rsidR="000467A1" w:rsidRPr="00AD4CE9">
        <w:rPr>
          <w:rFonts w:ascii="Tahoma" w:hAnsi="Tahoma" w:cs="Tahoma"/>
        </w:rPr>
        <w:t xml:space="preserve">    </w:t>
      </w:r>
      <w:r w:rsidRPr="00AD4CE9">
        <w:rPr>
          <w:rFonts w:ascii="Tahoma" w:hAnsi="Tahoma" w:cs="Tahoma"/>
        </w:rPr>
        <w:t xml:space="preserve"> </w:t>
      </w:r>
      <w:r w:rsidR="0083318E">
        <w:rPr>
          <w:rFonts w:ascii="Tahoma" w:hAnsi="Tahoma" w:cs="Tahoma"/>
        </w:rPr>
        <w:t xml:space="preserve"> </w:t>
      </w:r>
      <w:r w:rsidR="00BB78BA">
        <w:rPr>
          <w:rFonts w:ascii="Tahoma" w:hAnsi="Tahoma" w:cs="Tahoma"/>
        </w:rPr>
        <w:t xml:space="preserve">  52.858</w:t>
      </w:r>
    </w:p>
    <w:p w:rsidR="001666F5" w:rsidRPr="00AD4CE9" w:rsidRDefault="000467A1" w:rsidP="00AD4CE9">
      <w:pPr>
        <w:spacing w:before="0" w:after="0" w:line="228" w:lineRule="auto"/>
        <w:rPr>
          <w:rFonts w:ascii="Tahoma" w:hAnsi="Tahoma" w:cs="Tahoma"/>
        </w:rPr>
      </w:pPr>
      <w:r w:rsidRPr="00AD4CE9">
        <w:rPr>
          <w:rFonts w:ascii="Tahoma" w:hAnsi="Tahoma" w:cs="Tahoma"/>
        </w:rPr>
        <w:t xml:space="preserve">    </w:t>
      </w:r>
      <w:r w:rsidR="001666F5" w:rsidRPr="00AD4CE9">
        <w:rPr>
          <w:rFonts w:ascii="Tahoma" w:hAnsi="Tahoma" w:cs="Tahoma"/>
        </w:rPr>
        <w:tab/>
      </w:r>
      <w:r w:rsidR="001666F5" w:rsidRPr="00AD4CE9">
        <w:rPr>
          <w:rFonts w:ascii="Tahoma" w:hAnsi="Tahoma" w:cs="Tahoma"/>
        </w:rPr>
        <w:tab/>
      </w:r>
      <w:r w:rsidR="001666F5" w:rsidRPr="00AD4CE9">
        <w:rPr>
          <w:rFonts w:ascii="Tahoma" w:hAnsi="Tahoma" w:cs="Tahoma"/>
        </w:rPr>
        <w:tab/>
      </w:r>
      <w:r w:rsidR="001666F5" w:rsidRPr="00AD4CE9">
        <w:rPr>
          <w:rFonts w:ascii="Tahoma" w:hAnsi="Tahoma" w:cs="Tahoma"/>
        </w:rPr>
        <w:tab/>
      </w:r>
      <w:r w:rsidR="001666F5"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 xml:space="preserve">          ---</w:t>
      </w:r>
      <w:r w:rsidR="001666F5" w:rsidRPr="00AD4CE9">
        <w:rPr>
          <w:rFonts w:ascii="Tahoma" w:hAnsi="Tahoma" w:cs="Tahoma"/>
        </w:rPr>
        <w:t>----------------</w:t>
      </w:r>
    </w:p>
    <w:p w:rsidR="001666F5" w:rsidRPr="00AD4CE9" w:rsidRDefault="00BB78BA" w:rsidP="00AD4CE9">
      <w:pPr>
        <w:spacing w:before="0" w:after="0" w:line="228" w:lineRule="auto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       $574.137</w:t>
      </w:r>
    </w:p>
    <w:p w:rsidR="00BB78BA" w:rsidRDefault="00BB78BA" w:rsidP="00AD4CE9">
      <w:pPr>
        <w:spacing w:before="0" w:after="0" w:line="228" w:lineRule="auto"/>
        <w:rPr>
          <w:rFonts w:ascii="Tahoma" w:hAnsi="Tahoma" w:cs="Tahoma"/>
        </w:rPr>
      </w:pPr>
    </w:p>
    <w:p w:rsidR="001666F5" w:rsidRPr="00AD4CE9" w:rsidRDefault="00423359" w:rsidP="00AD4CE9">
      <w:pPr>
        <w:spacing w:before="0" w:after="0" w:line="228" w:lineRule="auto"/>
        <w:rPr>
          <w:rFonts w:ascii="Tahoma" w:hAnsi="Tahoma" w:cs="Tahoma"/>
        </w:rPr>
      </w:pPr>
      <w:r>
        <w:rPr>
          <w:rFonts w:ascii="Tahoma" w:hAnsi="Tahoma" w:cs="Tahoma"/>
        </w:rPr>
        <w:t>Razón</w:t>
      </w:r>
      <w:r w:rsidR="00BB78BA">
        <w:rPr>
          <w:rFonts w:ascii="Tahoma" w:hAnsi="Tahoma" w:cs="Tahoma"/>
        </w:rPr>
        <w:t xml:space="preserve"> Corriente  $4.377.971/ $574.137=7.62</w:t>
      </w:r>
    </w:p>
    <w:p w:rsidR="00A7456E" w:rsidRPr="00AD4CE9" w:rsidRDefault="00A7456E" w:rsidP="00AD4CE9">
      <w:pPr>
        <w:spacing w:before="0" w:after="0" w:line="228" w:lineRule="auto"/>
        <w:rPr>
          <w:rFonts w:ascii="Tahoma" w:hAnsi="Tahoma" w:cs="Tahoma"/>
        </w:rPr>
      </w:pPr>
    </w:p>
    <w:p w:rsidR="008A0D90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El anterior resultado nos muestra que por cada peso que</w:t>
      </w:r>
      <w:r w:rsidR="008A0D90">
        <w:rPr>
          <w:rFonts w:ascii="Tahoma" w:hAnsi="Tahoma" w:cs="Tahoma"/>
        </w:rPr>
        <w:t xml:space="preserve"> la Ad</w:t>
      </w:r>
      <w:r w:rsidR="00310359">
        <w:rPr>
          <w:rFonts w:ascii="Tahoma" w:hAnsi="Tahoma" w:cs="Tahoma"/>
        </w:rPr>
        <w:t>min</w:t>
      </w:r>
      <w:r w:rsidR="0083318E">
        <w:rPr>
          <w:rFonts w:ascii="Tahoma" w:hAnsi="Tahoma" w:cs="Tahoma"/>
        </w:rPr>
        <w:t>is</w:t>
      </w:r>
      <w:r w:rsidR="00BB78BA">
        <w:rPr>
          <w:rFonts w:ascii="Tahoma" w:hAnsi="Tahoma" w:cs="Tahoma"/>
        </w:rPr>
        <w:t>tración Municipal de Roncesvalles</w:t>
      </w:r>
      <w:r w:rsidR="0083318E">
        <w:rPr>
          <w:rFonts w:ascii="Tahoma" w:hAnsi="Tahoma" w:cs="Tahoma"/>
        </w:rPr>
        <w:t xml:space="preserve"> </w:t>
      </w:r>
      <w:r w:rsidRPr="00AD4CE9">
        <w:rPr>
          <w:rFonts w:ascii="Tahoma" w:hAnsi="Tahoma" w:cs="Tahoma"/>
        </w:rPr>
        <w:t xml:space="preserve"> debe a corto plazo, cuenta con </w:t>
      </w:r>
      <w:r w:rsidR="00BB78BA">
        <w:rPr>
          <w:rFonts w:ascii="Tahoma" w:hAnsi="Tahoma" w:cs="Tahoma"/>
        </w:rPr>
        <w:t>7.62</w:t>
      </w:r>
      <w:r w:rsidR="008D6CE6">
        <w:rPr>
          <w:rFonts w:ascii="Tahoma" w:hAnsi="Tahoma" w:cs="Tahoma"/>
        </w:rPr>
        <w:t xml:space="preserve"> </w:t>
      </w:r>
      <w:r w:rsidRPr="00AD4CE9">
        <w:rPr>
          <w:rFonts w:ascii="Tahoma" w:hAnsi="Tahoma" w:cs="Tahoma"/>
        </w:rPr>
        <w:t xml:space="preserve"> pesos en activos corriente para cubrirlos, lo que significa que el mencionado munic</w:t>
      </w:r>
      <w:r w:rsidR="008A0D90">
        <w:rPr>
          <w:rFonts w:ascii="Tahoma" w:hAnsi="Tahoma" w:cs="Tahoma"/>
        </w:rPr>
        <w:t xml:space="preserve">ipio refleja liquidez </w:t>
      </w:r>
      <w:r w:rsidRPr="00AD4CE9">
        <w:rPr>
          <w:rFonts w:ascii="Tahoma" w:hAnsi="Tahoma" w:cs="Tahoma"/>
        </w:rPr>
        <w:t xml:space="preserve"> para cubrir sus pasivos de corto plazo.</w:t>
      </w:r>
    </w:p>
    <w:p w:rsidR="008A0D90" w:rsidRPr="00AD4CE9" w:rsidRDefault="008A0D90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CAPITAL NETO DE TRABAJO</w:t>
      </w: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El capital neto de trabajo es el resultado de restar del activo corriente los pasivos a corto plazo de la entidad. El capital de trabajo se considera como aquellos recursos que necesita la entidad para operar.</w:t>
      </w: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Formula: Activo Corriente – Pasivo Corriente</w:t>
      </w: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A7456E" w:rsidRPr="00AD4CE9" w:rsidRDefault="00BB78BA" w:rsidP="008A0D90">
      <w:pPr>
        <w:spacing w:before="0" w:after="0" w:line="228" w:lineRule="auto"/>
        <w:rPr>
          <w:rFonts w:ascii="Tahoma" w:hAnsi="Tahoma" w:cs="Tahoma"/>
        </w:rPr>
      </w:pPr>
      <w:r>
        <w:rPr>
          <w:rFonts w:ascii="Tahoma" w:hAnsi="Tahoma" w:cs="Tahoma"/>
        </w:rPr>
        <w:t>$4.377.971- $574.137</w:t>
      </w:r>
      <w:r w:rsidR="00A7456E" w:rsidRPr="00AD4CE9">
        <w:rPr>
          <w:rFonts w:ascii="Tahoma" w:hAnsi="Tahoma" w:cs="Tahoma"/>
        </w:rPr>
        <w:t>= $</w:t>
      </w:r>
      <w:r>
        <w:rPr>
          <w:rFonts w:ascii="Tahoma" w:hAnsi="Tahoma" w:cs="Tahoma"/>
        </w:rPr>
        <w:t>3.803.834</w:t>
      </w: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A7456E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El anterior resultado nos indica que el ente territorial cuenta con suficientes recursos propios para operar.</w:t>
      </w:r>
    </w:p>
    <w:p w:rsidR="008A0D90" w:rsidRPr="00AD4CE9" w:rsidRDefault="008A0D90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NIVEL DE ENDEUDAMIENTO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Este indicador nos presenta el porcentaje de participación de los acreedores dentro de los activos del ente territorial.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Formula: Pasivo Total con Terceros / Activo Total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BB78BA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$574.137</w:t>
      </w:r>
      <w:r w:rsidR="00310359">
        <w:rPr>
          <w:rFonts w:ascii="Tahoma" w:hAnsi="Tahoma" w:cs="Tahoma"/>
        </w:rPr>
        <w:t>/</w:t>
      </w:r>
      <w:r>
        <w:rPr>
          <w:rFonts w:ascii="Tahoma" w:hAnsi="Tahoma" w:cs="Tahoma"/>
        </w:rPr>
        <w:t>$5.623.684</w:t>
      </w:r>
      <w:r w:rsidR="008A1B70" w:rsidRPr="00AD4CE9">
        <w:rPr>
          <w:rFonts w:ascii="Tahoma" w:hAnsi="Tahoma" w:cs="Tahoma"/>
        </w:rPr>
        <w:t xml:space="preserve"> </w:t>
      </w:r>
      <w:r w:rsidR="003E25A9" w:rsidRPr="00AD4CE9">
        <w:rPr>
          <w:rFonts w:ascii="Tahoma" w:hAnsi="Tahoma" w:cs="Tahoma"/>
        </w:rPr>
        <w:t xml:space="preserve">= </w:t>
      </w:r>
      <w:r>
        <w:rPr>
          <w:rFonts w:ascii="Tahoma" w:hAnsi="Tahoma" w:cs="Tahoma"/>
        </w:rPr>
        <w:t>10.2</w:t>
      </w:r>
      <w:r w:rsidR="003E25A9" w:rsidRPr="00AD4CE9">
        <w:rPr>
          <w:rFonts w:ascii="Tahoma" w:hAnsi="Tahoma" w:cs="Tahoma"/>
        </w:rPr>
        <w:t>%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 xml:space="preserve">El anterior resultado nos indica que del total de activos que posee el municipio, el </w:t>
      </w:r>
      <w:r w:rsidR="00BB78BA">
        <w:rPr>
          <w:rFonts w:ascii="Tahoma" w:hAnsi="Tahoma" w:cs="Tahoma"/>
        </w:rPr>
        <w:t>10.2</w:t>
      </w:r>
      <w:r w:rsidRPr="00AD4CE9">
        <w:rPr>
          <w:rFonts w:ascii="Tahoma" w:hAnsi="Tahoma" w:cs="Tahoma"/>
        </w:rPr>
        <w:t>% está siendo financiado por los acreedores.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RAZÓN DEL PATRIMONIO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 xml:space="preserve">Nos muestra hasta </w:t>
      </w:r>
      <w:r w:rsidR="009F3F48" w:rsidRPr="00AD4CE9">
        <w:rPr>
          <w:rFonts w:ascii="Tahoma" w:hAnsi="Tahoma" w:cs="Tahoma"/>
        </w:rPr>
        <w:t>qué</w:t>
      </w:r>
      <w:r w:rsidRPr="00AD4CE9">
        <w:rPr>
          <w:rFonts w:ascii="Tahoma" w:hAnsi="Tahoma" w:cs="Tahoma"/>
        </w:rPr>
        <w:t xml:space="preserve"> punto la entidad territorial tiene independencia financiera ante sus acreedores, se determina dividiendo el valor del patrimonio entre el activo total.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Formula: Patrimonio Total / Activo Total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764ABD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$</w:t>
      </w:r>
      <w:r w:rsidR="00BB78BA">
        <w:rPr>
          <w:rFonts w:ascii="Tahoma" w:hAnsi="Tahoma" w:cs="Tahoma"/>
        </w:rPr>
        <w:t>4.586.992/$5.623.684</w:t>
      </w:r>
      <w:r w:rsidR="005A36ED" w:rsidRPr="00AD4CE9">
        <w:rPr>
          <w:rFonts w:ascii="Tahoma" w:hAnsi="Tahoma" w:cs="Tahoma"/>
        </w:rPr>
        <w:t xml:space="preserve"> </w:t>
      </w:r>
      <w:r w:rsidR="00BB78BA">
        <w:rPr>
          <w:rFonts w:ascii="Tahoma" w:hAnsi="Tahoma" w:cs="Tahoma"/>
        </w:rPr>
        <w:t>=81.56</w:t>
      </w:r>
      <w:r w:rsidRPr="00AD4CE9">
        <w:rPr>
          <w:rFonts w:ascii="Tahoma" w:hAnsi="Tahoma" w:cs="Tahoma"/>
        </w:rPr>
        <w:t>%</w:t>
      </w:r>
    </w:p>
    <w:p w:rsidR="008326D2" w:rsidRPr="00AD4CE9" w:rsidRDefault="008326D2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8D6CE6" w:rsidRDefault="008326D2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El porcentaje establecido a</w:t>
      </w:r>
      <w:r w:rsidR="00402C3D">
        <w:rPr>
          <w:rFonts w:ascii="Tahoma" w:hAnsi="Tahoma" w:cs="Tahoma"/>
        </w:rPr>
        <w:t>nter</w:t>
      </w:r>
      <w:r w:rsidR="00310359">
        <w:rPr>
          <w:rFonts w:ascii="Tahoma" w:hAnsi="Tahoma" w:cs="Tahoma"/>
        </w:rPr>
        <w:t xml:space="preserve">iormente nos indica </w:t>
      </w:r>
      <w:r w:rsidR="00BB78BA">
        <w:rPr>
          <w:rFonts w:ascii="Tahoma" w:hAnsi="Tahoma" w:cs="Tahoma"/>
        </w:rPr>
        <w:t>que el 81.56</w:t>
      </w:r>
      <w:r w:rsidRPr="00AD4CE9">
        <w:rPr>
          <w:rFonts w:ascii="Tahoma" w:hAnsi="Tahoma" w:cs="Tahoma"/>
        </w:rPr>
        <w:t>% de los activos, están siendo financiados con capital propio.</w:t>
      </w:r>
    </w:p>
    <w:p w:rsidR="00DF519D" w:rsidRDefault="00DF519D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8D6CE6" w:rsidRPr="00AD4CE9" w:rsidRDefault="008D6CE6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6756E8" w:rsidRPr="00AD4CE9" w:rsidRDefault="006756E8" w:rsidP="002443C3">
      <w:pPr>
        <w:pStyle w:val="Prrafodelista"/>
        <w:numPr>
          <w:ilvl w:val="0"/>
          <w:numId w:val="1"/>
        </w:numPr>
        <w:spacing w:before="0" w:after="0" w:line="228" w:lineRule="auto"/>
        <w:jc w:val="both"/>
        <w:rPr>
          <w:rFonts w:ascii="Tahoma" w:hAnsi="Tahoma" w:cs="Tahoma"/>
          <w:b/>
        </w:rPr>
      </w:pPr>
      <w:r w:rsidRPr="00AD4CE9">
        <w:rPr>
          <w:rFonts w:ascii="Tahoma" w:hAnsi="Tahoma" w:cs="Tahoma"/>
          <w:b/>
        </w:rPr>
        <w:t>CONCEPTUALIZACION SO</w:t>
      </w:r>
      <w:r w:rsidR="00402C3D">
        <w:rPr>
          <w:rFonts w:ascii="Tahoma" w:hAnsi="Tahoma" w:cs="Tahoma"/>
          <w:b/>
        </w:rPr>
        <w:t>BRE LOS ESTADOS FINANCIEROS 2015</w:t>
      </w:r>
    </w:p>
    <w:p w:rsidR="006756E8" w:rsidRDefault="006756E8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DF519D" w:rsidRPr="00AD4CE9" w:rsidRDefault="00DF519D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6756E8" w:rsidRDefault="000C5DE3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El municipio de Roncesvalles </w:t>
      </w:r>
      <w:r w:rsidR="006756E8" w:rsidRPr="00AD4CE9">
        <w:rPr>
          <w:rFonts w:ascii="Tahoma" w:hAnsi="Tahoma" w:cs="Tahoma"/>
        </w:rPr>
        <w:t xml:space="preserve"> de</w:t>
      </w:r>
      <w:r w:rsidR="005A36ED" w:rsidRPr="00AD4CE9">
        <w:rPr>
          <w:rFonts w:ascii="Tahoma" w:hAnsi="Tahoma" w:cs="Tahoma"/>
        </w:rPr>
        <w:t xml:space="preserve"> </w:t>
      </w:r>
      <w:r w:rsidR="006756E8" w:rsidRPr="00AD4CE9">
        <w:rPr>
          <w:rFonts w:ascii="Tahoma" w:hAnsi="Tahoma" w:cs="Tahoma"/>
        </w:rPr>
        <w:t xml:space="preserve">acuerdo con su Balance General terminado en la fecha, se observa que sus activos totales crecieron un </w:t>
      </w:r>
      <w:r>
        <w:rPr>
          <w:rFonts w:ascii="Tahoma" w:hAnsi="Tahoma" w:cs="Tahoma"/>
        </w:rPr>
        <w:t>11% en la suma de  $557.093</w:t>
      </w:r>
      <w:r w:rsidR="00930863">
        <w:rPr>
          <w:rFonts w:ascii="Tahoma" w:hAnsi="Tahoma" w:cs="Tahoma"/>
        </w:rPr>
        <w:t xml:space="preserve"> </w:t>
      </w:r>
      <w:r w:rsidR="00402C3D">
        <w:rPr>
          <w:rFonts w:ascii="Tahoma" w:hAnsi="Tahoma" w:cs="Tahoma"/>
        </w:rPr>
        <w:t xml:space="preserve"> con relación al periodo 2014</w:t>
      </w:r>
      <w:r w:rsidR="00930863">
        <w:rPr>
          <w:rFonts w:ascii="Tahoma" w:hAnsi="Tahoma" w:cs="Tahoma"/>
        </w:rPr>
        <w:t>, reflejados en la cuenta</w:t>
      </w:r>
      <w:r w:rsidR="006756E8" w:rsidRPr="00AD4CE9">
        <w:rPr>
          <w:rFonts w:ascii="Tahoma" w:hAnsi="Tahoma" w:cs="Tahoma"/>
        </w:rPr>
        <w:t xml:space="preserve"> Depósit</w:t>
      </w:r>
      <w:r w:rsidR="00930863">
        <w:rPr>
          <w:rFonts w:ascii="Tahoma" w:hAnsi="Tahoma" w:cs="Tahoma"/>
        </w:rPr>
        <w:t>os en Instituciones Financieras.</w:t>
      </w:r>
    </w:p>
    <w:p w:rsidR="00930863" w:rsidRPr="00AD4CE9" w:rsidRDefault="00930863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6756E8" w:rsidRDefault="004622C7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Su p</w:t>
      </w:r>
      <w:r w:rsidR="00930863">
        <w:rPr>
          <w:rFonts w:ascii="Tahoma" w:hAnsi="Tahoma" w:cs="Tahoma"/>
        </w:rPr>
        <w:t>atrimonio creció un 30.11</w:t>
      </w:r>
      <w:r w:rsidR="006756E8" w:rsidRPr="00AD4CE9">
        <w:rPr>
          <w:rFonts w:ascii="Tahoma" w:hAnsi="Tahoma" w:cs="Tahoma"/>
        </w:rPr>
        <w:t xml:space="preserve">%, apalancado principalmente por la cuenta </w:t>
      </w:r>
      <w:r w:rsidR="002613E4">
        <w:rPr>
          <w:rFonts w:ascii="Tahoma" w:hAnsi="Tahoma" w:cs="Tahoma"/>
        </w:rPr>
        <w:t xml:space="preserve">de Hacienda Pública, </w:t>
      </w:r>
      <w:r w:rsidR="00B74E57">
        <w:rPr>
          <w:rFonts w:ascii="Tahoma" w:hAnsi="Tahoma" w:cs="Tahoma"/>
        </w:rPr>
        <w:t xml:space="preserve"> que p</w:t>
      </w:r>
      <w:r w:rsidR="002613E4">
        <w:rPr>
          <w:rFonts w:ascii="Tahoma" w:hAnsi="Tahoma" w:cs="Tahoma"/>
        </w:rPr>
        <w:t xml:space="preserve">resenta </w:t>
      </w:r>
      <w:r w:rsidR="008D6CE6">
        <w:rPr>
          <w:rFonts w:ascii="Tahoma" w:hAnsi="Tahoma" w:cs="Tahoma"/>
        </w:rPr>
        <w:t xml:space="preserve">el mismo crecimiento </w:t>
      </w:r>
      <w:r w:rsidR="000D2062" w:rsidRPr="00AD4CE9">
        <w:rPr>
          <w:rFonts w:ascii="Tahoma" w:hAnsi="Tahoma" w:cs="Tahoma"/>
        </w:rPr>
        <w:t>por la suma de $</w:t>
      </w:r>
      <w:r w:rsidR="00930863">
        <w:rPr>
          <w:rFonts w:ascii="Tahoma" w:hAnsi="Tahoma" w:cs="Tahoma"/>
        </w:rPr>
        <w:t>1.061,4</w:t>
      </w:r>
      <w:r w:rsidR="008D6CE6">
        <w:rPr>
          <w:rFonts w:ascii="Tahoma" w:hAnsi="Tahoma" w:cs="Tahoma"/>
        </w:rPr>
        <w:t xml:space="preserve"> millones</w:t>
      </w:r>
      <w:r w:rsidR="00B74E57">
        <w:rPr>
          <w:rFonts w:ascii="Tahoma" w:hAnsi="Tahoma" w:cs="Tahoma"/>
        </w:rPr>
        <w:t>.</w:t>
      </w:r>
    </w:p>
    <w:p w:rsidR="00AD4CE9" w:rsidRPr="00AD4CE9" w:rsidRDefault="00AD4CE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0D2062" w:rsidRPr="00AD4CE9" w:rsidRDefault="000D2062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 xml:space="preserve">Su estructura financiera al </w:t>
      </w:r>
      <w:r w:rsidR="00402C3D">
        <w:rPr>
          <w:rFonts w:ascii="Tahoma" w:hAnsi="Tahoma" w:cs="Tahoma"/>
        </w:rPr>
        <w:t>cierre del periodo contable 2015</w:t>
      </w:r>
      <w:r w:rsidR="00B74E57">
        <w:rPr>
          <w:rFonts w:ascii="Tahoma" w:hAnsi="Tahoma" w:cs="Tahoma"/>
        </w:rPr>
        <w:t>, estaba representad</w:t>
      </w:r>
      <w:r w:rsidR="00930863">
        <w:rPr>
          <w:rFonts w:ascii="Tahoma" w:hAnsi="Tahoma" w:cs="Tahoma"/>
        </w:rPr>
        <w:t>a en el 18.43</w:t>
      </w:r>
      <w:r w:rsidR="004622C7">
        <w:rPr>
          <w:rFonts w:ascii="Tahoma" w:hAnsi="Tahoma" w:cs="Tahoma"/>
        </w:rPr>
        <w:t>% los</w:t>
      </w:r>
      <w:r w:rsidR="00930863">
        <w:rPr>
          <w:rFonts w:ascii="Tahoma" w:hAnsi="Tahoma" w:cs="Tahoma"/>
        </w:rPr>
        <w:t xml:space="preserve"> pasivos y el 81.56</w:t>
      </w:r>
      <w:r w:rsidRPr="00AD4CE9">
        <w:rPr>
          <w:rFonts w:ascii="Tahoma" w:hAnsi="Tahoma" w:cs="Tahoma"/>
        </w:rPr>
        <w:t>% el patrimonio.</w:t>
      </w:r>
    </w:p>
    <w:p w:rsidR="000D2062" w:rsidRPr="00AD4CE9" w:rsidRDefault="000D2062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0D2062" w:rsidRPr="00AD4CE9" w:rsidRDefault="000D2062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 xml:space="preserve">El municipio presenta un nivel de endeudamiento bajo respecto al total de sus activos, alcanzando un margen del </w:t>
      </w:r>
      <w:r w:rsidR="00930863">
        <w:rPr>
          <w:rFonts w:ascii="Tahoma" w:hAnsi="Tahoma" w:cs="Tahoma"/>
        </w:rPr>
        <w:t>10.2</w:t>
      </w:r>
      <w:r w:rsidRPr="00AD4CE9">
        <w:rPr>
          <w:rFonts w:ascii="Tahoma" w:hAnsi="Tahoma" w:cs="Tahoma"/>
        </w:rPr>
        <w:t>%.</w:t>
      </w:r>
    </w:p>
    <w:p w:rsidR="000D2062" w:rsidRPr="00AD4CE9" w:rsidRDefault="000D2062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A7456E" w:rsidRPr="00AD4CE9" w:rsidRDefault="000D2062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 xml:space="preserve">De acuerdo con los resultados de sus indicadores </w:t>
      </w:r>
      <w:r w:rsidR="00C83948" w:rsidRPr="00AD4CE9">
        <w:rPr>
          <w:rFonts w:ascii="Tahoma" w:hAnsi="Tahoma" w:cs="Tahoma"/>
        </w:rPr>
        <w:t>podemo</w:t>
      </w:r>
      <w:r w:rsidR="00273691">
        <w:rPr>
          <w:rFonts w:ascii="Tahoma" w:hAnsi="Tahoma" w:cs="Tahoma"/>
        </w:rPr>
        <w:t>s concl</w:t>
      </w:r>
      <w:r w:rsidR="00402C3D">
        <w:rPr>
          <w:rFonts w:ascii="Tahoma" w:hAnsi="Tahoma" w:cs="Tahoma"/>
        </w:rPr>
        <w:t>uir que el municip</w:t>
      </w:r>
      <w:r w:rsidR="00930863">
        <w:rPr>
          <w:rFonts w:ascii="Tahoma" w:hAnsi="Tahoma" w:cs="Tahoma"/>
        </w:rPr>
        <w:t xml:space="preserve">io de Roncesvalles </w:t>
      </w:r>
      <w:r w:rsidR="00FE7F94">
        <w:rPr>
          <w:rFonts w:ascii="Tahoma" w:hAnsi="Tahoma" w:cs="Tahoma"/>
        </w:rPr>
        <w:t xml:space="preserve"> </w:t>
      </w:r>
      <w:r w:rsidR="00273691">
        <w:rPr>
          <w:rFonts w:ascii="Tahoma" w:hAnsi="Tahoma" w:cs="Tahoma"/>
        </w:rPr>
        <w:t xml:space="preserve"> </w:t>
      </w:r>
      <w:r w:rsidR="00C83948" w:rsidRPr="00AD4CE9">
        <w:rPr>
          <w:rFonts w:ascii="Tahoma" w:hAnsi="Tahoma" w:cs="Tahoma"/>
        </w:rPr>
        <w:t>al corte del 3</w:t>
      </w:r>
      <w:r w:rsidR="00273691">
        <w:rPr>
          <w:rFonts w:ascii="Tahoma" w:hAnsi="Tahoma" w:cs="Tahoma"/>
        </w:rPr>
        <w:t>1</w:t>
      </w:r>
      <w:r w:rsidR="00402C3D">
        <w:rPr>
          <w:rFonts w:ascii="Tahoma" w:hAnsi="Tahoma" w:cs="Tahoma"/>
        </w:rPr>
        <w:t xml:space="preserve"> de diciembre de 2015</w:t>
      </w:r>
      <w:r w:rsidR="00C83948" w:rsidRPr="00AD4CE9">
        <w:rPr>
          <w:rFonts w:ascii="Tahoma" w:hAnsi="Tahoma" w:cs="Tahoma"/>
        </w:rPr>
        <w:t>, presentaba una situación financiera favorable.</w:t>
      </w:r>
    </w:p>
    <w:sectPr w:rsidR="00A7456E" w:rsidRPr="00AD4CE9" w:rsidSect="00CF1795">
      <w:headerReference w:type="default" r:id="rId12"/>
      <w:footerReference w:type="default" r:id="rId13"/>
      <w:pgSz w:w="12242" w:h="15842" w:code="1"/>
      <w:pgMar w:top="2376" w:right="1701" w:bottom="2268" w:left="1701" w:header="180" w:footer="191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239D" w:rsidRDefault="003D239D" w:rsidP="00650A99">
      <w:r>
        <w:separator/>
      </w:r>
    </w:p>
  </w:endnote>
  <w:endnote w:type="continuationSeparator" w:id="0">
    <w:p w:rsidR="003D239D" w:rsidRDefault="003D239D" w:rsidP="00650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981" w:rsidRPr="00070555" w:rsidRDefault="002F54E8">
    <w:pPr>
      <w:pStyle w:val="Piedepgina"/>
      <w:rPr>
        <w:rFonts w:ascii="Tahoma" w:hAnsi="Tahoma" w:cs="Tahoma"/>
        <w:sz w:val="14"/>
        <w:szCs w:val="20"/>
      </w:rPr>
    </w:pPr>
    <w:r>
      <w:rPr>
        <w:rFonts w:ascii="Tahoma" w:hAnsi="Tahoma" w:cs="Tahoma"/>
        <w:noProof/>
        <w:sz w:val="14"/>
        <w:szCs w:val="20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418DD9F" wp14:editId="68FAEEBB">
              <wp:simplePos x="0" y="0"/>
              <wp:positionH relativeFrom="column">
                <wp:posOffset>2510790</wp:posOffset>
              </wp:positionH>
              <wp:positionV relativeFrom="paragraph">
                <wp:posOffset>28575</wp:posOffset>
              </wp:positionV>
              <wp:extent cx="1190625" cy="297815"/>
              <wp:effectExtent l="0" t="0" r="0" b="0"/>
              <wp:wrapNone/>
              <wp:docPr id="4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0625" cy="2978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D0981" w:rsidRPr="003205FF" w:rsidRDefault="00440EAB" w:rsidP="00B6483D">
                          <w:pPr>
                            <w:jc w:val="center"/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</w:pP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begin"/>
                          </w:r>
                          <w:r w:rsidR="003205FF"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instrText>PAGE  \* Arabic  \* MERGEFORMAT</w:instrText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separate"/>
                          </w:r>
                          <w:r w:rsidR="00993820" w:rsidRPr="00993820">
                            <w:rPr>
                              <w:rFonts w:ascii="Tahoma" w:hAnsi="Tahoma" w:cs="Tahoma"/>
                              <w:noProof/>
                              <w:sz w:val="14"/>
                              <w:szCs w:val="16"/>
                              <w:lang w:val="es-ES"/>
                            </w:rPr>
                            <w:t>2</w:t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end"/>
                          </w:r>
                          <w:r w:rsidR="003205FF" w:rsidRPr="003205FF">
                            <w:rPr>
                              <w:rFonts w:ascii="Tahoma" w:hAnsi="Tahoma" w:cs="Tahoma"/>
                              <w:sz w:val="12"/>
                              <w:szCs w:val="16"/>
                              <w:lang w:val="es-ES"/>
                            </w:rPr>
                            <w:t xml:space="preserve"> de </w:t>
                          </w:r>
                          <w:r w:rsidR="00993820">
                            <w:fldChar w:fldCharType="begin"/>
                          </w:r>
                          <w:r w:rsidR="00993820">
                            <w:instrText>NUMPAGES  \* Arabic  \* MERGEFORMAT</w:instrText>
                          </w:r>
                          <w:r w:rsidR="00993820">
                            <w:fldChar w:fldCharType="separate"/>
                          </w:r>
                          <w:r w:rsidR="00993820" w:rsidRPr="00993820">
                            <w:rPr>
                              <w:rFonts w:ascii="Tahoma" w:hAnsi="Tahoma" w:cs="Tahoma"/>
                              <w:noProof/>
                              <w:sz w:val="14"/>
                              <w:szCs w:val="16"/>
                              <w:lang w:val="es-ES"/>
                            </w:rPr>
                            <w:t>8</w:t>
                          </w:r>
                          <w:r w:rsidR="00993820">
                            <w:rPr>
                              <w:rFonts w:ascii="Tahoma" w:hAnsi="Tahoma" w:cs="Tahoma"/>
                              <w:noProof/>
                              <w:sz w:val="14"/>
                              <w:szCs w:val="16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18DD9F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197.7pt;margin-top:2.25pt;width:93.75pt;height:23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" filled="f" stroked="f">
              <v:textbox>
                <w:txbxContent>
                  <w:p w:rsidR="00DD0981" w:rsidRPr="003205FF" w:rsidRDefault="00440EAB" w:rsidP="00B6483D">
                    <w:pPr>
                      <w:jc w:val="center"/>
                      <w:rPr>
                        <w:rFonts w:ascii="Tahoma" w:hAnsi="Tahoma" w:cs="Tahoma"/>
                        <w:sz w:val="14"/>
                        <w:szCs w:val="16"/>
                      </w:rPr>
                    </w:pP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begin"/>
                    </w:r>
                    <w:r w:rsidR="003205FF"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instrText>PAGE  \* Arabic  \* MERGEFORMAT</w:instrText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separate"/>
                    </w:r>
                    <w:r w:rsidR="00993820" w:rsidRPr="00993820">
                      <w:rPr>
                        <w:rFonts w:ascii="Tahoma" w:hAnsi="Tahoma" w:cs="Tahoma"/>
                        <w:noProof/>
                        <w:sz w:val="14"/>
                        <w:szCs w:val="16"/>
                        <w:lang w:val="es-ES"/>
                      </w:rPr>
                      <w:t>2</w:t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end"/>
                    </w:r>
                    <w:r w:rsidR="003205FF" w:rsidRPr="003205FF">
                      <w:rPr>
                        <w:rFonts w:ascii="Tahoma" w:hAnsi="Tahoma" w:cs="Tahoma"/>
                        <w:sz w:val="12"/>
                        <w:szCs w:val="16"/>
                        <w:lang w:val="es-ES"/>
                      </w:rPr>
                      <w:t xml:space="preserve"> de </w:t>
                    </w:r>
                    <w:r w:rsidR="00993820">
                      <w:fldChar w:fldCharType="begin"/>
                    </w:r>
                    <w:r w:rsidR="00993820">
                      <w:instrText>NUMPAGES  \* Arabic  \* MERGEFORMAT</w:instrText>
                    </w:r>
                    <w:r w:rsidR="00993820">
                      <w:fldChar w:fldCharType="separate"/>
                    </w:r>
                    <w:r w:rsidR="00993820" w:rsidRPr="00993820">
                      <w:rPr>
                        <w:rFonts w:ascii="Tahoma" w:hAnsi="Tahoma" w:cs="Tahoma"/>
                        <w:noProof/>
                        <w:sz w:val="14"/>
                        <w:szCs w:val="16"/>
                        <w:lang w:val="es-ES"/>
                      </w:rPr>
                      <w:t>8</w:t>
                    </w:r>
                    <w:r w:rsidR="00993820">
                      <w:rPr>
                        <w:rFonts w:ascii="Tahoma" w:hAnsi="Tahoma" w:cs="Tahoma"/>
                        <w:noProof/>
                        <w:sz w:val="14"/>
                        <w:szCs w:val="16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noProof/>
        <w:sz w:val="14"/>
        <w:szCs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DA57131" wp14:editId="4EF46F45">
              <wp:simplePos x="0" y="0"/>
              <wp:positionH relativeFrom="column">
                <wp:posOffset>3162935</wp:posOffset>
              </wp:positionH>
              <wp:positionV relativeFrom="paragraph">
                <wp:posOffset>79375</wp:posOffset>
              </wp:positionV>
              <wp:extent cx="3453130" cy="1376045"/>
              <wp:effectExtent l="0" t="0" r="0" b="0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53130" cy="13760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D0981" w:rsidRDefault="00DD0981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DA57131" id="_x0000_s1027" type="#_x0000_t202" style="position:absolute;margin-left:249.05pt;margin-top:6.25pt;width:271.9pt;height:108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" filled="f" stroked="f">
              <v:textbox>
                <w:txbxContent>
                  <w:p w:rsidR="00DD0981" w:rsidRDefault="00DD0981"/>
                </w:txbxContent>
              </v:textbox>
            </v:shape>
          </w:pict>
        </mc:Fallback>
      </mc:AlternateContent>
    </w:r>
  </w:p>
  <w:p w:rsidR="00DD0981" w:rsidRPr="00070555" w:rsidRDefault="002F54E8">
    <w:pPr>
      <w:pStyle w:val="Piedepgina"/>
      <w:rPr>
        <w:rFonts w:ascii="Tahoma" w:hAnsi="Tahoma" w:cs="Tahoma"/>
        <w:sz w:val="18"/>
        <w:szCs w:val="18"/>
      </w:rPr>
    </w:pPr>
    <w:r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25D7752" wp14:editId="26B742AF">
              <wp:simplePos x="0" y="0"/>
              <wp:positionH relativeFrom="column">
                <wp:posOffset>-157480</wp:posOffset>
              </wp:positionH>
              <wp:positionV relativeFrom="paragraph">
                <wp:posOffset>6350</wp:posOffset>
              </wp:positionV>
              <wp:extent cx="2827020" cy="1309370"/>
              <wp:effectExtent l="0" t="0" r="0" b="5080"/>
              <wp:wrapNone/>
              <wp:docPr id="2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27020" cy="130937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205FF" w:rsidRDefault="003205FF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______________________________________</w:t>
                          </w:r>
                        </w:p>
                        <w:p w:rsidR="003205FF" w:rsidRDefault="003205FF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</w:p>
                        <w:p w:rsidR="00DD0981" w:rsidRPr="00BB3D88" w:rsidRDefault="003205FF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Edificio </w:t>
                          </w:r>
                          <w:r w:rsidR="00DD0981"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Gobernación del Tolima, Piso 7 </w:t>
                          </w:r>
                        </w:p>
                        <w:p w:rsidR="003205FF" w:rsidRPr="003205FF" w:rsidRDefault="00993820" w:rsidP="003205FF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Style w:val="Hipervnculo"/>
                              <w:rFonts w:ascii="Tahoma" w:hAnsi="Tahoma" w:cs="Tahoma"/>
                              <w:color w:val="auto"/>
                              <w:sz w:val="18"/>
                              <w:szCs w:val="18"/>
                              <w:u w:val="none"/>
                            </w:rPr>
                          </w:pPr>
                          <w:hyperlink r:id="rId1" w:history="1">
                            <w:r w:rsidR="003205FF" w:rsidRPr="003205FF">
                              <w:rPr>
                                <w:rStyle w:val="Hipervnculo"/>
                                <w:rFonts w:ascii="Tahoma" w:hAnsi="Tahoma" w:cs="Tahoma"/>
                                <w:color w:val="auto"/>
                                <w:sz w:val="18"/>
                                <w:szCs w:val="18"/>
                                <w:u w:val="none"/>
                              </w:rPr>
                              <w:t>despacho.contraloria@contraloriatolima.gov.co</w:t>
                            </w:r>
                          </w:hyperlink>
                        </w:p>
                        <w:p w:rsidR="00DD0981" w:rsidRPr="000352F0" w:rsidRDefault="00DD0981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Style w:val="Hipervnculo"/>
                              <w:rFonts w:ascii="Tahoma" w:hAnsi="Tahoma" w:cs="Tahoma"/>
                              <w:color w:val="auto"/>
                              <w:sz w:val="18"/>
                              <w:szCs w:val="18"/>
                              <w:u w:val="none"/>
                            </w:rPr>
                          </w:pPr>
                          <w:r w:rsidRPr="000352F0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Web-</w:t>
                          </w:r>
                          <w:proofErr w:type="spellStart"/>
                          <w:r w:rsidRPr="000352F0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Site</w:t>
                          </w:r>
                          <w:proofErr w:type="spellEnd"/>
                          <w:r w:rsidRPr="000352F0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:  </w:t>
                          </w:r>
                          <w:hyperlink r:id="rId2" w:history="1">
                            <w:r w:rsidRPr="000352F0">
                              <w:rPr>
                                <w:rStyle w:val="Hipervnculo"/>
                                <w:rFonts w:ascii="Tahoma" w:hAnsi="Tahoma" w:cs="Tahoma"/>
                                <w:color w:val="auto"/>
                                <w:sz w:val="18"/>
                                <w:szCs w:val="18"/>
                                <w:u w:val="none"/>
                              </w:rPr>
                              <w:t>www.contraloriatolima.gov.co</w:t>
                            </w:r>
                          </w:hyperlink>
                        </w:p>
                        <w:p w:rsidR="00DD0981" w:rsidRPr="00BB3D88" w:rsidRDefault="003205FF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PBX: 2 </w:t>
                          </w:r>
                          <w:r w:rsidR="00DD0981"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61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 </w:t>
                          </w:r>
                          <w:r w:rsidR="00DD0981"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11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 </w:t>
                          </w:r>
                          <w:r w:rsidR="00DD0981"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67 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/ 2 61 11 69</w:t>
                          </w:r>
                        </w:p>
                        <w:p w:rsidR="00DD0981" w:rsidRPr="00A926CE" w:rsidRDefault="00DD0981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20"/>
                            </w:rPr>
                          </w:pPr>
                          <w:r w:rsidRPr="00A926CE">
                            <w:rPr>
                              <w:rFonts w:ascii="Tahoma" w:hAnsi="Tahoma" w:cs="Tahoma"/>
                              <w:sz w:val="18"/>
                              <w:szCs w:val="20"/>
                            </w:rPr>
                            <w:t>NIT: 890.706.847-1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25D7752" id="_x0000_s1028" type="#_x0000_t202" style="position:absolute;margin-left:-12.4pt;margin-top:.5pt;width:222.6pt;height:103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" filled="f" stroked="f">
              <v:textbox>
                <w:txbxContent>
                  <w:p w:rsidR="003205FF" w:rsidRDefault="003205FF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>______________________________________</w:t>
                    </w:r>
                  </w:p>
                  <w:p w:rsidR="003205FF" w:rsidRDefault="003205FF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</w:p>
                  <w:p w:rsidR="00DD0981" w:rsidRPr="00BB3D88" w:rsidRDefault="003205FF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Edificio </w:t>
                    </w:r>
                    <w:r w:rsidR="00DD0981"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Gobernación del Tolima, Piso 7 </w:t>
                    </w:r>
                  </w:p>
                  <w:p w:rsidR="003205FF" w:rsidRPr="003205FF" w:rsidRDefault="00993820" w:rsidP="003205FF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Style w:val="Hipervnculo"/>
                        <w:rFonts w:ascii="Tahoma" w:hAnsi="Tahoma" w:cs="Tahoma"/>
                        <w:color w:val="auto"/>
                        <w:sz w:val="18"/>
                        <w:szCs w:val="18"/>
                        <w:u w:val="none"/>
                      </w:rPr>
                    </w:pPr>
                    <w:hyperlink r:id="rId3" w:history="1">
                      <w:r w:rsidR="003205FF" w:rsidRPr="003205FF">
                        <w:rPr>
                          <w:rStyle w:val="Hipervnculo"/>
                          <w:rFonts w:ascii="Tahoma" w:hAnsi="Tahoma" w:cs="Tahoma"/>
                          <w:color w:val="auto"/>
                          <w:sz w:val="18"/>
                          <w:szCs w:val="18"/>
                          <w:u w:val="none"/>
                        </w:rPr>
                        <w:t>despacho.contraloria@contraloriatolima.gov.co</w:t>
                      </w:r>
                    </w:hyperlink>
                  </w:p>
                  <w:p w:rsidR="00DD0981" w:rsidRPr="000352F0" w:rsidRDefault="00DD0981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Style w:val="Hipervnculo"/>
                        <w:rFonts w:ascii="Tahoma" w:hAnsi="Tahoma" w:cs="Tahoma"/>
                        <w:color w:val="auto"/>
                        <w:sz w:val="18"/>
                        <w:szCs w:val="18"/>
                        <w:u w:val="none"/>
                      </w:rPr>
                    </w:pPr>
                    <w:r w:rsidRPr="000352F0">
                      <w:rPr>
                        <w:rFonts w:ascii="Tahoma" w:hAnsi="Tahoma" w:cs="Tahoma"/>
                        <w:sz w:val="18"/>
                        <w:szCs w:val="18"/>
                      </w:rPr>
                      <w:t>Web-</w:t>
                    </w:r>
                    <w:proofErr w:type="spellStart"/>
                    <w:r w:rsidRPr="000352F0">
                      <w:rPr>
                        <w:rFonts w:ascii="Tahoma" w:hAnsi="Tahoma" w:cs="Tahoma"/>
                        <w:sz w:val="18"/>
                        <w:szCs w:val="18"/>
                      </w:rPr>
                      <w:t>Site</w:t>
                    </w:r>
                    <w:proofErr w:type="spellEnd"/>
                    <w:r w:rsidRPr="000352F0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:  </w:t>
                    </w:r>
                    <w:hyperlink r:id="rId4" w:history="1">
                      <w:r w:rsidRPr="000352F0">
                        <w:rPr>
                          <w:rStyle w:val="Hipervnculo"/>
                          <w:rFonts w:ascii="Tahoma" w:hAnsi="Tahoma" w:cs="Tahoma"/>
                          <w:color w:val="auto"/>
                          <w:sz w:val="18"/>
                          <w:szCs w:val="18"/>
                          <w:u w:val="none"/>
                        </w:rPr>
                        <w:t>www.contraloriatolima.gov.co</w:t>
                      </w:r>
                    </w:hyperlink>
                  </w:p>
                  <w:p w:rsidR="00DD0981" w:rsidRPr="00BB3D88" w:rsidRDefault="003205FF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PBX: 2 </w:t>
                    </w:r>
                    <w:r w:rsidR="00DD0981"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>61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 </w:t>
                    </w:r>
                    <w:r w:rsidR="00DD0981"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>11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 </w:t>
                    </w:r>
                    <w:r w:rsidR="00DD0981"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67 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>/ 2 61 11 69</w:t>
                    </w:r>
                  </w:p>
                  <w:p w:rsidR="00DD0981" w:rsidRPr="00A926CE" w:rsidRDefault="00DD0981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20"/>
                      </w:rPr>
                    </w:pPr>
                    <w:r w:rsidRPr="00A926CE">
                      <w:rPr>
                        <w:rFonts w:ascii="Tahoma" w:hAnsi="Tahoma" w:cs="Tahoma"/>
                        <w:sz w:val="18"/>
                        <w:szCs w:val="20"/>
                      </w:rPr>
                      <w:t>NIT: 890.706.847-1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239D" w:rsidRDefault="003D239D" w:rsidP="00650A99">
      <w:r>
        <w:separator/>
      </w:r>
    </w:p>
  </w:footnote>
  <w:footnote w:type="continuationSeparator" w:id="0">
    <w:p w:rsidR="003D239D" w:rsidRDefault="003D239D" w:rsidP="00650A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981" w:rsidRDefault="00CF1795">
    <w:pPr>
      <w:pStyle w:val="Encabezado"/>
    </w:pPr>
    <w:r>
      <w:rPr>
        <w:noProof/>
      </w:rPr>
      <w:drawing>
        <wp:inline distT="0" distB="0" distL="0" distR="0" wp14:anchorId="6AC48BDB" wp14:editId="11363B69">
          <wp:extent cx="1571625" cy="1219200"/>
          <wp:effectExtent l="0" t="0" r="9525" b="0"/>
          <wp:docPr id="3" name="0 Image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0 Imagen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1219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8033D0"/>
    <w:multiLevelType w:val="multilevel"/>
    <w:tmpl w:val="000C0E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>
    <w:nsid w:val="6F9A2C8F"/>
    <w:multiLevelType w:val="multilevel"/>
    <w:tmpl w:val="000C0E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A99"/>
    <w:rsid w:val="00005BD7"/>
    <w:rsid w:val="00014DDB"/>
    <w:rsid w:val="000167CA"/>
    <w:rsid w:val="00025419"/>
    <w:rsid w:val="0003468E"/>
    <w:rsid w:val="000352F0"/>
    <w:rsid w:val="00043E5E"/>
    <w:rsid w:val="00044B50"/>
    <w:rsid w:val="000467A1"/>
    <w:rsid w:val="000479B3"/>
    <w:rsid w:val="0005757F"/>
    <w:rsid w:val="00062A7C"/>
    <w:rsid w:val="00063566"/>
    <w:rsid w:val="00070555"/>
    <w:rsid w:val="0007281C"/>
    <w:rsid w:val="00073152"/>
    <w:rsid w:val="000732A3"/>
    <w:rsid w:val="00074463"/>
    <w:rsid w:val="00074EF9"/>
    <w:rsid w:val="00080622"/>
    <w:rsid w:val="00081AAB"/>
    <w:rsid w:val="00084FFA"/>
    <w:rsid w:val="00090F81"/>
    <w:rsid w:val="000913E2"/>
    <w:rsid w:val="00092432"/>
    <w:rsid w:val="00092D3A"/>
    <w:rsid w:val="00096CAD"/>
    <w:rsid w:val="000971C2"/>
    <w:rsid w:val="000A4FDA"/>
    <w:rsid w:val="000A5F72"/>
    <w:rsid w:val="000B2584"/>
    <w:rsid w:val="000C5DE3"/>
    <w:rsid w:val="000C640F"/>
    <w:rsid w:val="000C699D"/>
    <w:rsid w:val="000D2062"/>
    <w:rsid w:val="000D715E"/>
    <w:rsid w:val="000E117C"/>
    <w:rsid w:val="000E1460"/>
    <w:rsid w:val="000E42DA"/>
    <w:rsid w:val="000E46FA"/>
    <w:rsid w:val="000F1700"/>
    <w:rsid w:val="000F17B4"/>
    <w:rsid w:val="000F4FA1"/>
    <w:rsid w:val="001077DC"/>
    <w:rsid w:val="00110EA7"/>
    <w:rsid w:val="00115E29"/>
    <w:rsid w:val="00124F58"/>
    <w:rsid w:val="001301DF"/>
    <w:rsid w:val="00131C6D"/>
    <w:rsid w:val="00131E4E"/>
    <w:rsid w:val="00132C47"/>
    <w:rsid w:val="0013431C"/>
    <w:rsid w:val="001361E3"/>
    <w:rsid w:val="0014091C"/>
    <w:rsid w:val="001531E5"/>
    <w:rsid w:val="00154430"/>
    <w:rsid w:val="001605A0"/>
    <w:rsid w:val="00160B31"/>
    <w:rsid w:val="001617F8"/>
    <w:rsid w:val="00163663"/>
    <w:rsid w:val="001666F5"/>
    <w:rsid w:val="00171674"/>
    <w:rsid w:val="0017250D"/>
    <w:rsid w:val="001843DB"/>
    <w:rsid w:val="001A5473"/>
    <w:rsid w:val="001B4378"/>
    <w:rsid w:val="001B7E9B"/>
    <w:rsid w:val="001D26AE"/>
    <w:rsid w:val="001D30AE"/>
    <w:rsid w:val="001E0386"/>
    <w:rsid w:val="001E19D5"/>
    <w:rsid w:val="001E2459"/>
    <w:rsid w:val="001E6C74"/>
    <w:rsid w:val="001F3E0C"/>
    <w:rsid w:val="00203B8E"/>
    <w:rsid w:val="002049C5"/>
    <w:rsid w:val="00204E7B"/>
    <w:rsid w:val="00216974"/>
    <w:rsid w:val="00217490"/>
    <w:rsid w:val="00224140"/>
    <w:rsid w:val="00226503"/>
    <w:rsid w:val="002443C3"/>
    <w:rsid w:val="002467D6"/>
    <w:rsid w:val="00250B2A"/>
    <w:rsid w:val="00254A87"/>
    <w:rsid w:val="002608D4"/>
    <w:rsid w:val="002613E4"/>
    <w:rsid w:val="00267A53"/>
    <w:rsid w:val="002702FE"/>
    <w:rsid w:val="00273691"/>
    <w:rsid w:val="002751D2"/>
    <w:rsid w:val="002855A9"/>
    <w:rsid w:val="00293B22"/>
    <w:rsid w:val="00293DE7"/>
    <w:rsid w:val="00294FB6"/>
    <w:rsid w:val="00297AD1"/>
    <w:rsid w:val="002A5283"/>
    <w:rsid w:val="002C24CB"/>
    <w:rsid w:val="002C31ED"/>
    <w:rsid w:val="002D03DF"/>
    <w:rsid w:val="002D3A88"/>
    <w:rsid w:val="002D62AF"/>
    <w:rsid w:val="002D6719"/>
    <w:rsid w:val="002E1436"/>
    <w:rsid w:val="002E7240"/>
    <w:rsid w:val="002F54E8"/>
    <w:rsid w:val="003026A2"/>
    <w:rsid w:val="00303824"/>
    <w:rsid w:val="00306CC6"/>
    <w:rsid w:val="00310359"/>
    <w:rsid w:val="003108E9"/>
    <w:rsid w:val="00313CA5"/>
    <w:rsid w:val="003205FF"/>
    <w:rsid w:val="00321B22"/>
    <w:rsid w:val="00321EC8"/>
    <w:rsid w:val="003242F1"/>
    <w:rsid w:val="003305B2"/>
    <w:rsid w:val="00332DE4"/>
    <w:rsid w:val="00334968"/>
    <w:rsid w:val="00341B3E"/>
    <w:rsid w:val="00351487"/>
    <w:rsid w:val="00354AA0"/>
    <w:rsid w:val="00356B3F"/>
    <w:rsid w:val="00367CB1"/>
    <w:rsid w:val="00372F40"/>
    <w:rsid w:val="00375CC7"/>
    <w:rsid w:val="0039183D"/>
    <w:rsid w:val="00391C14"/>
    <w:rsid w:val="00397766"/>
    <w:rsid w:val="003A5822"/>
    <w:rsid w:val="003B11DD"/>
    <w:rsid w:val="003B72A8"/>
    <w:rsid w:val="003B7F8F"/>
    <w:rsid w:val="003C0774"/>
    <w:rsid w:val="003C5E57"/>
    <w:rsid w:val="003D239D"/>
    <w:rsid w:val="003D499A"/>
    <w:rsid w:val="003D5BDF"/>
    <w:rsid w:val="003E25A9"/>
    <w:rsid w:val="003E2908"/>
    <w:rsid w:val="003F5E08"/>
    <w:rsid w:val="00402C3D"/>
    <w:rsid w:val="004032C1"/>
    <w:rsid w:val="00407637"/>
    <w:rsid w:val="004120E2"/>
    <w:rsid w:val="00423359"/>
    <w:rsid w:val="00426FB0"/>
    <w:rsid w:val="00430D77"/>
    <w:rsid w:val="00440EAB"/>
    <w:rsid w:val="00452E65"/>
    <w:rsid w:val="00454B8B"/>
    <w:rsid w:val="0045545A"/>
    <w:rsid w:val="00461871"/>
    <w:rsid w:val="004622C7"/>
    <w:rsid w:val="00466271"/>
    <w:rsid w:val="0046718C"/>
    <w:rsid w:val="004674EF"/>
    <w:rsid w:val="00467508"/>
    <w:rsid w:val="00467595"/>
    <w:rsid w:val="00480FCA"/>
    <w:rsid w:val="0048203B"/>
    <w:rsid w:val="0049303C"/>
    <w:rsid w:val="00496461"/>
    <w:rsid w:val="004A00E3"/>
    <w:rsid w:val="004A31AA"/>
    <w:rsid w:val="004B3739"/>
    <w:rsid w:val="004C10FE"/>
    <w:rsid w:val="004C250E"/>
    <w:rsid w:val="004C27B6"/>
    <w:rsid w:val="004C2EA2"/>
    <w:rsid w:val="004E17F3"/>
    <w:rsid w:val="004E3F57"/>
    <w:rsid w:val="004E585C"/>
    <w:rsid w:val="004F2F93"/>
    <w:rsid w:val="004F4C50"/>
    <w:rsid w:val="00506345"/>
    <w:rsid w:val="00516E68"/>
    <w:rsid w:val="00520FA4"/>
    <w:rsid w:val="0052650A"/>
    <w:rsid w:val="005279E8"/>
    <w:rsid w:val="00551920"/>
    <w:rsid w:val="00552A0E"/>
    <w:rsid w:val="00556949"/>
    <w:rsid w:val="00560B0C"/>
    <w:rsid w:val="00560CA3"/>
    <w:rsid w:val="00562B5C"/>
    <w:rsid w:val="00563F32"/>
    <w:rsid w:val="00585BCF"/>
    <w:rsid w:val="00585ED0"/>
    <w:rsid w:val="00590A7E"/>
    <w:rsid w:val="005916D2"/>
    <w:rsid w:val="00595ED2"/>
    <w:rsid w:val="005A36ED"/>
    <w:rsid w:val="005A4F01"/>
    <w:rsid w:val="005B6F12"/>
    <w:rsid w:val="005C163A"/>
    <w:rsid w:val="005C3743"/>
    <w:rsid w:val="005D533E"/>
    <w:rsid w:val="005D66B0"/>
    <w:rsid w:val="005E1DE9"/>
    <w:rsid w:val="005E5E78"/>
    <w:rsid w:val="005F356A"/>
    <w:rsid w:val="00603AAD"/>
    <w:rsid w:val="00605900"/>
    <w:rsid w:val="006068E9"/>
    <w:rsid w:val="006074FF"/>
    <w:rsid w:val="00615CBC"/>
    <w:rsid w:val="00617A76"/>
    <w:rsid w:val="00617E98"/>
    <w:rsid w:val="0062226C"/>
    <w:rsid w:val="00630301"/>
    <w:rsid w:val="006432CC"/>
    <w:rsid w:val="00644A95"/>
    <w:rsid w:val="00650A99"/>
    <w:rsid w:val="00652DA3"/>
    <w:rsid w:val="0065368E"/>
    <w:rsid w:val="00654211"/>
    <w:rsid w:val="00670D69"/>
    <w:rsid w:val="00672971"/>
    <w:rsid w:val="006756E8"/>
    <w:rsid w:val="0067758A"/>
    <w:rsid w:val="00682027"/>
    <w:rsid w:val="00687B70"/>
    <w:rsid w:val="00692975"/>
    <w:rsid w:val="006A5FCB"/>
    <w:rsid w:val="006B765E"/>
    <w:rsid w:val="006B7F90"/>
    <w:rsid w:val="006C051C"/>
    <w:rsid w:val="006C2980"/>
    <w:rsid w:val="006D20E4"/>
    <w:rsid w:val="006D2B4A"/>
    <w:rsid w:val="00700DB0"/>
    <w:rsid w:val="0070120A"/>
    <w:rsid w:val="007062D9"/>
    <w:rsid w:val="00706545"/>
    <w:rsid w:val="00715B59"/>
    <w:rsid w:val="00736007"/>
    <w:rsid w:val="00745063"/>
    <w:rsid w:val="00747180"/>
    <w:rsid w:val="00754337"/>
    <w:rsid w:val="00764ABD"/>
    <w:rsid w:val="00770276"/>
    <w:rsid w:val="00770ADC"/>
    <w:rsid w:val="00771928"/>
    <w:rsid w:val="00773282"/>
    <w:rsid w:val="00796DDA"/>
    <w:rsid w:val="007B4882"/>
    <w:rsid w:val="007B70F7"/>
    <w:rsid w:val="007C4270"/>
    <w:rsid w:val="007D4191"/>
    <w:rsid w:val="007D5C4B"/>
    <w:rsid w:val="007D6052"/>
    <w:rsid w:val="007F7C04"/>
    <w:rsid w:val="00800EEF"/>
    <w:rsid w:val="008036D7"/>
    <w:rsid w:val="0081495F"/>
    <w:rsid w:val="00814D3D"/>
    <w:rsid w:val="00815D0B"/>
    <w:rsid w:val="00820529"/>
    <w:rsid w:val="00821EDD"/>
    <w:rsid w:val="00827082"/>
    <w:rsid w:val="00830982"/>
    <w:rsid w:val="00832014"/>
    <w:rsid w:val="008326D2"/>
    <w:rsid w:val="0083318E"/>
    <w:rsid w:val="00841203"/>
    <w:rsid w:val="00847EEE"/>
    <w:rsid w:val="00852F31"/>
    <w:rsid w:val="00862966"/>
    <w:rsid w:val="00872CA8"/>
    <w:rsid w:val="008761A0"/>
    <w:rsid w:val="00897455"/>
    <w:rsid w:val="008A0D33"/>
    <w:rsid w:val="008A0D90"/>
    <w:rsid w:val="008A1B70"/>
    <w:rsid w:val="008A5D7F"/>
    <w:rsid w:val="008D6CE6"/>
    <w:rsid w:val="008E2ADB"/>
    <w:rsid w:val="008E40B7"/>
    <w:rsid w:val="008E6775"/>
    <w:rsid w:val="008F6815"/>
    <w:rsid w:val="009058D0"/>
    <w:rsid w:val="00906002"/>
    <w:rsid w:val="00907660"/>
    <w:rsid w:val="00914565"/>
    <w:rsid w:val="009209C9"/>
    <w:rsid w:val="00921D04"/>
    <w:rsid w:val="00926B45"/>
    <w:rsid w:val="00930863"/>
    <w:rsid w:val="009339AC"/>
    <w:rsid w:val="00934CE3"/>
    <w:rsid w:val="00942761"/>
    <w:rsid w:val="00942F02"/>
    <w:rsid w:val="00943029"/>
    <w:rsid w:val="009471EB"/>
    <w:rsid w:val="00957662"/>
    <w:rsid w:val="00957C10"/>
    <w:rsid w:val="009606B3"/>
    <w:rsid w:val="00966EAD"/>
    <w:rsid w:val="00974E10"/>
    <w:rsid w:val="0098778A"/>
    <w:rsid w:val="00990B51"/>
    <w:rsid w:val="00991F22"/>
    <w:rsid w:val="00993820"/>
    <w:rsid w:val="009961BF"/>
    <w:rsid w:val="009C0615"/>
    <w:rsid w:val="009D7ECE"/>
    <w:rsid w:val="009E01E8"/>
    <w:rsid w:val="009E3411"/>
    <w:rsid w:val="009F0EF0"/>
    <w:rsid w:val="009F3F48"/>
    <w:rsid w:val="00A04FA7"/>
    <w:rsid w:val="00A32BD8"/>
    <w:rsid w:val="00A34FD5"/>
    <w:rsid w:val="00A43B37"/>
    <w:rsid w:val="00A44F64"/>
    <w:rsid w:val="00A47CA0"/>
    <w:rsid w:val="00A57CC2"/>
    <w:rsid w:val="00A642C7"/>
    <w:rsid w:val="00A65971"/>
    <w:rsid w:val="00A7456E"/>
    <w:rsid w:val="00A7495A"/>
    <w:rsid w:val="00A839F4"/>
    <w:rsid w:val="00A84657"/>
    <w:rsid w:val="00A846EB"/>
    <w:rsid w:val="00A85837"/>
    <w:rsid w:val="00A926CE"/>
    <w:rsid w:val="00A9371D"/>
    <w:rsid w:val="00AA22C9"/>
    <w:rsid w:val="00AA75DD"/>
    <w:rsid w:val="00AB37B1"/>
    <w:rsid w:val="00AC2B0C"/>
    <w:rsid w:val="00AC6DD0"/>
    <w:rsid w:val="00AD4CE9"/>
    <w:rsid w:val="00AD56DB"/>
    <w:rsid w:val="00AE45E6"/>
    <w:rsid w:val="00AE7455"/>
    <w:rsid w:val="00AF71D3"/>
    <w:rsid w:val="00B0252C"/>
    <w:rsid w:val="00B11E2E"/>
    <w:rsid w:val="00B179EC"/>
    <w:rsid w:val="00B17D06"/>
    <w:rsid w:val="00B21A6F"/>
    <w:rsid w:val="00B229DE"/>
    <w:rsid w:val="00B235FD"/>
    <w:rsid w:val="00B245DE"/>
    <w:rsid w:val="00B24CA8"/>
    <w:rsid w:val="00B258AA"/>
    <w:rsid w:val="00B34497"/>
    <w:rsid w:val="00B430BE"/>
    <w:rsid w:val="00B52634"/>
    <w:rsid w:val="00B5291B"/>
    <w:rsid w:val="00B57255"/>
    <w:rsid w:val="00B63579"/>
    <w:rsid w:val="00B6483D"/>
    <w:rsid w:val="00B648B1"/>
    <w:rsid w:val="00B65897"/>
    <w:rsid w:val="00B66376"/>
    <w:rsid w:val="00B7024B"/>
    <w:rsid w:val="00B74E57"/>
    <w:rsid w:val="00B74F06"/>
    <w:rsid w:val="00B766AB"/>
    <w:rsid w:val="00B773B4"/>
    <w:rsid w:val="00B83BF2"/>
    <w:rsid w:val="00B8540B"/>
    <w:rsid w:val="00B97673"/>
    <w:rsid w:val="00BB2EB5"/>
    <w:rsid w:val="00BB3D88"/>
    <w:rsid w:val="00BB78BA"/>
    <w:rsid w:val="00BC5D7D"/>
    <w:rsid w:val="00BD3082"/>
    <w:rsid w:val="00BE325A"/>
    <w:rsid w:val="00C0423C"/>
    <w:rsid w:val="00C06948"/>
    <w:rsid w:val="00C20CA8"/>
    <w:rsid w:val="00C276A2"/>
    <w:rsid w:val="00C334D1"/>
    <w:rsid w:val="00C35423"/>
    <w:rsid w:val="00C35A0C"/>
    <w:rsid w:val="00C36BE7"/>
    <w:rsid w:val="00C404DC"/>
    <w:rsid w:val="00C43064"/>
    <w:rsid w:val="00C50480"/>
    <w:rsid w:val="00C54674"/>
    <w:rsid w:val="00C661A2"/>
    <w:rsid w:val="00C6685D"/>
    <w:rsid w:val="00C70370"/>
    <w:rsid w:val="00C81FC2"/>
    <w:rsid w:val="00C83948"/>
    <w:rsid w:val="00C86E28"/>
    <w:rsid w:val="00CA340D"/>
    <w:rsid w:val="00CB47E0"/>
    <w:rsid w:val="00CB5EF2"/>
    <w:rsid w:val="00CC0170"/>
    <w:rsid w:val="00CC38D6"/>
    <w:rsid w:val="00CC74DC"/>
    <w:rsid w:val="00CD5CCB"/>
    <w:rsid w:val="00CE3D10"/>
    <w:rsid w:val="00CE6524"/>
    <w:rsid w:val="00CF0493"/>
    <w:rsid w:val="00CF1795"/>
    <w:rsid w:val="00CF6745"/>
    <w:rsid w:val="00D338CD"/>
    <w:rsid w:val="00D42439"/>
    <w:rsid w:val="00D718F8"/>
    <w:rsid w:val="00D71C09"/>
    <w:rsid w:val="00D774B6"/>
    <w:rsid w:val="00D81436"/>
    <w:rsid w:val="00D85DD3"/>
    <w:rsid w:val="00D9131A"/>
    <w:rsid w:val="00DA07E0"/>
    <w:rsid w:val="00DA76D0"/>
    <w:rsid w:val="00DB2278"/>
    <w:rsid w:val="00DB37A9"/>
    <w:rsid w:val="00DB5E63"/>
    <w:rsid w:val="00DC4D50"/>
    <w:rsid w:val="00DD0981"/>
    <w:rsid w:val="00DD5CA9"/>
    <w:rsid w:val="00DF519D"/>
    <w:rsid w:val="00E00EAB"/>
    <w:rsid w:val="00E06024"/>
    <w:rsid w:val="00E16EF6"/>
    <w:rsid w:val="00E27185"/>
    <w:rsid w:val="00E35BA6"/>
    <w:rsid w:val="00E37DA4"/>
    <w:rsid w:val="00E438FA"/>
    <w:rsid w:val="00E44E11"/>
    <w:rsid w:val="00E562E9"/>
    <w:rsid w:val="00E745B9"/>
    <w:rsid w:val="00E77764"/>
    <w:rsid w:val="00E80CF1"/>
    <w:rsid w:val="00EC5776"/>
    <w:rsid w:val="00ED18CB"/>
    <w:rsid w:val="00F021E4"/>
    <w:rsid w:val="00F067EF"/>
    <w:rsid w:val="00F11CE8"/>
    <w:rsid w:val="00F152E9"/>
    <w:rsid w:val="00F161D1"/>
    <w:rsid w:val="00F27698"/>
    <w:rsid w:val="00F413A2"/>
    <w:rsid w:val="00F5445E"/>
    <w:rsid w:val="00F56475"/>
    <w:rsid w:val="00F57D5F"/>
    <w:rsid w:val="00F64422"/>
    <w:rsid w:val="00F74A4C"/>
    <w:rsid w:val="00FA4C6D"/>
    <w:rsid w:val="00FB1D70"/>
    <w:rsid w:val="00FC413F"/>
    <w:rsid w:val="00FD1869"/>
    <w:rsid w:val="00FD52EC"/>
    <w:rsid w:val="00FE438F"/>
    <w:rsid w:val="00FE5384"/>
    <w:rsid w:val="00FE754B"/>
    <w:rsid w:val="00FE7F94"/>
    <w:rsid w:val="00FF5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5:docId w15:val="{F66623F2-7643-44BE-ADB7-7FA491FE7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before="100" w:after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62AF"/>
    <w:rPr>
      <w:rFonts w:ascii="Arial" w:eastAsia="Arial" w:hAnsi="Arial" w:cs="Arial"/>
      <w:color w:val="000000"/>
      <w:lang w:eastAsia="es-CO"/>
    </w:rPr>
  </w:style>
  <w:style w:type="paragraph" w:styleId="Ttulo1">
    <w:name w:val="heading 1"/>
    <w:basedOn w:val="Normal"/>
    <w:next w:val="Normal"/>
    <w:link w:val="Ttulo1Car"/>
    <w:qFormat/>
    <w:rsid w:val="003A5822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Cambria" w:eastAsia="Times New Roman" w:hAnsi="Cambria" w:cs="Times New Roman"/>
      <w:b/>
      <w:bCs/>
      <w:color w:val="auto"/>
      <w:kern w:val="32"/>
      <w:sz w:val="32"/>
      <w:szCs w:val="32"/>
      <w:lang w:val="es-ES" w:eastAsia="es-ES"/>
    </w:rPr>
  </w:style>
  <w:style w:type="paragraph" w:styleId="Ttulo2">
    <w:name w:val="heading 2"/>
    <w:basedOn w:val="Normal"/>
    <w:link w:val="Ttulo2Car"/>
    <w:qFormat/>
    <w:rsid w:val="003A5822"/>
    <w:pPr>
      <w:overflowPunct w:val="0"/>
      <w:autoSpaceDE w:val="0"/>
      <w:autoSpaceDN w:val="0"/>
      <w:adjustRightInd w:val="0"/>
      <w:spacing w:after="100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36"/>
      <w:szCs w:val="20"/>
      <w:lang w:val="es-ES" w:eastAsia="es-ES"/>
    </w:rPr>
  </w:style>
  <w:style w:type="paragraph" w:styleId="Ttulo3">
    <w:name w:val="heading 3"/>
    <w:basedOn w:val="Normal"/>
    <w:link w:val="Ttulo3Car"/>
    <w:qFormat/>
    <w:rsid w:val="003A5822"/>
    <w:pPr>
      <w:overflowPunct w:val="0"/>
      <w:autoSpaceDE w:val="0"/>
      <w:autoSpaceDN w:val="0"/>
      <w:adjustRightInd w:val="0"/>
      <w:spacing w:after="100"/>
      <w:textAlignment w:val="baseline"/>
      <w:outlineLvl w:val="2"/>
    </w:pPr>
    <w:rPr>
      <w:rFonts w:ascii="Times New Roman" w:eastAsia="Times New Roman" w:hAnsi="Times New Roman" w:cs="Times New Roman"/>
      <w:b/>
      <w:color w:val="auto"/>
      <w:sz w:val="27"/>
      <w:szCs w:val="20"/>
      <w:lang w:val="es-ES" w:eastAsia="es-E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A5822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rFonts w:ascii="Calibri" w:eastAsia="Times New Roman" w:hAnsi="Calibri" w:cs="Times New Roman"/>
      <w:b/>
      <w:bCs/>
      <w:i/>
      <w:iCs/>
      <w:color w:val="auto"/>
      <w:sz w:val="26"/>
      <w:szCs w:val="26"/>
      <w:lang w:val="es-ES" w:eastAsia="es-E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A5822"/>
    <w:p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ascii="Calibri" w:eastAsia="Times New Roman" w:hAnsi="Calibri" w:cs="Times New Roman"/>
      <w:b/>
      <w:bCs/>
      <w:color w:val="auto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50A9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0A99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650A9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50A99"/>
  </w:style>
  <w:style w:type="paragraph" w:styleId="Piedepgina">
    <w:name w:val="footer"/>
    <w:basedOn w:val="Normal"/>
    <w:link w:val="PiedepginaCar"/>
    <w:uiPriority w:val="99"/>
    <w:unhideWhenUsed/>
    <w:rsid w:val="00650A9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50A99"/>
  </w:style>
  <w:style w:type="character" w:styleId="Hipervnculo">
    <w:name w:val="Hyperlink"/>
    <w:basedOn w:val="Fuentedeprrafopredeter"/>
    <w:uiPriority w:val="99"/>
    <w:unhideWhenUsed/>
    <w:rsid w:val="00650A99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70D69"/>
    <w:pPr>
      <w:spacing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styleId="Tablaconcuadrcula">
    <w:name w:val="Table Grid"/>
    <w:basedOn w:val="Tablanormal"/>
    <w:uiPriority w:val="59"/>
    <w:rsid w:val="00AE45E6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oindependienteCar">
    <w:name w:val="Texto independiente Car"/>
    <w:aliases w:val="body text Car,bt Car,contents Car,body tesx Car1,body tesx Car Car"/>
    <w:basedOn w:val="Fuentedeprrafopredeter"/>
    <w:link w:val="Textoindependiente"/>
    <w:locked/>
    <w:rsid w:val="006A5FCB"/>
    <w:rPr>
      <w:rFonts w:ascii="Tahoma" w:hAnsi="Tahoma" w:cs="Tahoma"/>
      <w:sz w:val="24"/>
      <w:szCs w:val="24"/>
      <w:lang w:val="es-ES" w:eastAsia="es-ES"/>
    </w:rPr>
  </w:style>
  <w:style w:type="paragraph" w:styleId="Textoindependiente">
    <w:name w:val="Body Text"/>
    <w:aliases w:val="body text,bt,contents,body tesx,body tesx Car"/>
    <w:basedOn w:val="Normal"/>
    <w:link w:val="TextoindependienteCar"/>
    <w:unhideWhenUsed/>
    <w:rsid w:val="006A5FCB"/>
    <w:pPr>
      <w:jc w:val="both"/>
    </w:pPr>
    <w:rPr>
      <w:rFonts w:ascii="Tahoma" w:hAnsi="Tahoma" w:cs="Tahoma"/>
      <w:sz w:val="24"/>
      <w:szCs w:val="24"/>
      <w:lang w:val="es-ES" w:eastAsia="es-ES"/>
    </w:rPr>
  </w:style>
  <w:style w:type="character" w:customStyle="1" w:styleId="TextoindependienteCar1">
    <w:name w:val="Texto independiente Car1"/>
    <w:basedOn w:val="Fuentedeprrafopredeter"/>
    <w:uiPriority w:val="99"/>
    <w:semiHidden/>
    <w:rsid w:val="006A5FCB"/>
  </w:style>
  <w:style w:type="paragraph" w:styleId="Prrafodelista">
    <w:name w:val="List Paragraph"/>
    <w:basedOn w:val="Normal"/>
    <w:uiPriority w:val="34"/>
    <w:qFormat/>
    <w:rsid w:val="006A5FCB"/>
    <w:pPr>
      <w:ind w:left="720"/>
      <w:contextualSpacing/>
    </w:pPr>
  </w:style>
  <w:style w:type="paragraph" w:styleId="Sinespaciado">
    <w:name w:val="No Spacing"/>
    <w:uiPriority w:val="1"/>
    <w:qFormat/>
    <w:rsid w:val="005E5E78"/>
    <w:pPr>
      <w:spacing w:after="0"/>
    </w:pPr>
    <w:rPr>
      <w:rFonts w:ascii="Arial" w:eastAsia="Arial" w:hAnsi="Arial" w:cs="Arial"/>
      <w:color w:val="000000"/>
      <w:lang w:eastAsia="es-CO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3A5822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3A5822"/>
    <w:rPr>
      <w:rFonts w:ascii="Arial" w:eastAsia="Arial" w:hAnsi="Arial" w:cs="Arial"/>
      <w:color w:val="000000"/>
      <w:lang w:eastAsia="es-CO"/>
    </w:rPr>
  </w:style>
  <w:style w:type="paragraph" w:styleId="Textoindependiente3">
    <w:name w:val="Body Text 3"/>
    <w:basedOn w:val="Normal"/>
    <w:link w:val="Textoindependiente3Car"/>
    <w:uiPriority w:val="99"/>
    <w:unhideWhenUsed/>
    <w:rsid w:val="003A5822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3A5822"/>
    <w:rPr>
      <w:rFonts w:ascii="Arial" w:eastAsia="Arial" w:hAnsi="Arial" w:cs="Arial"/>
      <w:color w:val="000000"/>
      <w:sz w:val="16"/>
      <w:szCs w:val="16"/>
      <w:lang w:eastAsia="es-CO"/>
    </w:rPr>
  </w:style>
  <w:style w:type="character" w:customStyle="1" w:styleId="Ttulo1Car">
    <w:name w:val="Título 1 Car"/>
    <w:basedOn w:val="Fuentedeprrafopredeter"/>
    <w:link w:val="Ttulo1"/>
    <w:rsid w:val="003A5822"/>
    <w:rPr>
      <w:rFonts w:ascii="Cambria" w:eastAsia="Times New Roman" w:hAnsi="Cambria" w:cs="Times New Roman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3A5822"/>
    <w:rPr>
      <w:rFonts w:ascii="Times New Roman" w:eastAsia="Times New Roman" w:hAnsi="Times New Roman" w:cs="Times New Roman"/>
      <w:b/>
      <w:sz w:val="36"/>
      <w:szCs w:val="20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3A5822"/>
    <w:rPr>
      <w:rFonts w:ascii="Times New Roman" w:eastAsia="Times New Roman" w:hAnsi="Times New Roman" w:cs="Times New Roman"/>
      <w:b/>
      <w:sz w:val="27"/>
      <w:szCs w:val="20"/>
      <w:lang w:val="es-ES" w:eastAsia="es-E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A5822"/>
    <w:rPr>
      <w:rFonts w:ascii="Calibri" w:eastAsia="Times New Roman" w:hAnsi="Calibri" w:cs="Times New Roman"/>
      <w:b/>
      <w:bCs/>
      <w:i/>
      <w:iCs/>
      <w:sz w:val="26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A5822"/>
    <w:rPr>
      <w:rFonts w:ascii="Calibri" w:eastAsia="Times New Roman" w:hAnsi="Calibri" w:cs="Times New Roman"/>
      <w:b/>
      <w:bCs/>
      <w:lang w:val="es-ES" w:eastAsia="es-ES"/>
    </w:rPr>
  </w:style>
  <w:style w:type="paragraph" w:styleId="Puesto">
    <w:name w:val="Title"/>
    <w:basedOn w:val="Normal"/>
    <w:link w:val="PuestoCar"/>
    <w:qFormat/>
    <w:rsid w:val="003A5822"/>
    <w:pPr>
      <w:jc w:val="center"/>
    </w:pPr>
    <w:rPr>
      <w:rFonts w:ascii="Times New Roman" w:eastAsia="Times New Roman" w:hAnsi="Times New Roman" w:cs="Times New Roman"/>
      <w:b/>
      <w:color w:val="auto"/>
      <w:sz w:val="24"/>
      <w:szCs w:val="20"/>
      <w:lang w:val="es-ES_tradnl" w:eastAsia="es-ES"/>
    </w:rPr>
  </w:style>
  <w:style w:type="character" w:customStyle="1" w:styleId="PuestoCar">
    <w:name w:val="Puesto Car"/>
    <w:basedOn w:val="Fuentedeprrafopredeter"/>
    <w:link w:val="Puesto"/>
    <w:rsid w:val="003A5822"/>
    <w:rPr>
      <w:rFonts w:ascii="Times New Roman" w:eastAsia="Times New Roman" w:hAnsi="Times New Roman" w:cs="Times New Roman"/>
      <w:b/>
      <w:sz w:val="24"/>
      <w:szCs w:val="20"/>
      <w:lang w:val="es-ES_tradnl" w:eastAsia="es-ES"/>
    </w:rPr>
  </w:style>
  <w:style w:type="paragraph" w:customStyle="1" w:styleId="Textosinformato1">
    <w:name w:val="Texto sin formato1"/>
    <w:basedOn w:val="Normal"/>
    <w:rsid w:val="003A5822"/>
    <w:rPr>
      <w:rFonts w:ascii="Courier New" w:eastAsia="Times New Roman" w:hAnsi="Courier New" w:cs="Times New Roman"/>
      <w:color w:val="auto"/>
      <w:sz w:val="20"/>
      <w:szCs w:val="24"/>
      <w:lang w:eastAsia="es-ES"/>
    </w:rPr>
  </w:style>
  <w:style w:type="paragraph" w:customStyle="1" w:styleId="xl53">
    <w:name w:val="xl53"/>
    <w:basedOn w:val="Normal"/>
    <w:rsid w:val="003A5822"/>
    <w:pPr>
      <w:spacing w:beforeAutospacing="1" w:after="100" w:afterAutospacing="1"/>
      <w:jc w:val="center"/>
    </w:pPr>
    <w:rPr>
      <w:rFonts w:eastAsia="Times New Roman"/>
      <w:b/>
      <w:bCs/>
      <w:color w:val="auto"/>
      <w:sz w:val="24"/>
      <w:szCs w:val="24"/>
      <w:lang w:val="es-ES" w:eastAsia="es-ES"/>
    </w:rPr>
  </w:style>
  <w:style w:type="table" w:styleId="Cuadrculaclara-nfasis6">
    <w:name w:val="Light Grid Accent 6"/>
    <w:basedOn w:val="Tablanormal"/>
    <w:uiPriority w:val="62"/>
    <w:rsid w:val="0007281C"/>
    <w:pPr>
      <w:spacing w:before="0" w:after="0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Sangradetextonormal">
    <w:name w:val="Body Text Indent"/>
    <w:basedOn w:val="Normal"/>
    <w:link w:val="SangradetextonormalCar"/>
    <w:uiPriority w:val="99"/>
    <w:unhideWhenUsed/>
    <w:rsid w:val="00B773B4"/>
    <w:pPr>
      <w:spacing w:after="120"/>
      <w:ind w:left="360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B773B4"/>
    <w:rPr>
      <w:rFonts w:ascii="Arial" w:eastAsia="Arial" w:hAnsi="Arial" w:cs="Arial"/>
      <w:color w:val="000000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6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espacho.contraloria@contraloriatolima.gov.co" TargetMode="External"/><Relationship Id="rId2" Type="http://schemas.openxmlformats.org/officeDocument/2006/relationships/hyperlink" Target="http://www.contraloriatolima.gov.co" TargetMode="External"/><Relationship Id="rId1" Type="http://schemas.openxmlformats.org/officeDocument/2006/relationships/hyperlink" Target="mailto:despacho.contraloria@contraloriatolima.gov.co" TargetMode="External"/><Relationship Id="rId4" Type="http://schemas.openxmlformats.org/officeDocument/2006/relationships/hyperlink" Target="http://www.contraloriatolima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F:\informe%20fiscal%20y%20financiero\Roncesvalles\Cuadro%20Comparativo.xls" TargetMode="External"/><Relationship Id="rId1" Type="http://schemas.openxmlformats.org/officeDocument/2006/relationships/image" Target="../media/image2.jpeg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/>
            </a:pPr>
            <a:r>
              <a:rPr lang="es-CO" sz="1400"/>
              <a:t>Balance General Comparativo </a:t>
            </a:r>
          </a:p>
          <a:p>
            <a:pPr>
              <a:defRPr/>
            </a:pPr>
            <a:r>
              <a:rPr lang="es-CO" sz="1400" b="0"/>
              <a:t>(miles de pesos)</a:t>
            </a:r>
          </a:p>
        </c:rich>
      </c:tx>
      <c:layout/>
      <c:overlay val="0"/>
    </c:title>
    <c:autoTitleDeleted val="0"/>
    <c:view3D>
      <c:rotX val="15"/>
      <c:rotY val="20"/>
      <c:depthPercent val="10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Graficas!$B$3</c:f>
              <c:strCache>
                <c:ptCount val="1"/>
                <c:pt idx="0">
                  <c:v>2015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es-CO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Graficas!$A$4:$A$6</c:f>
              <c:strCache>
                <c:ptCount val="3"/>
                <c:pt idx="0">
                  <c:v>ACTIVOS </c:v>
                </c:pt>
                <c:pt idx="1">
                  <c:v>PASIVOS </c:v>
                </c:pt>
                <c:pt idx="2">
                  <c:v>PATRIMONIO </c:v>
                </c:pt>
              </c:strCache>
            </c:strRef>
          </c:cat>
          <c:val>
            <c:numRef>
              <c:f>Graficas!$B$4:$B$6</c:f>
              <c:numCache>
                <c:formatCode>0</c:formatCode>
                <c:ptCount val="3"/>
                <c:pt idx="0">
                  <c:v>5623684</c:v>
                </c:pt>
                <c:pt idx="1">
                  <c:v>1036692</c:v>
                </c:pt>
                <c:pt idx="2">
                  <c:v>4586992</c:v>
                </c:pt>
              </c:numCache>
            </c:numRef>
          </c:val>
        </c:ser>
        <c:ser>
          <c:idx val="1"/>
          <c:order val="1"/>
          <c:tx>
            <c:strRef>
              <c:f>Graficas!$C$3</c:f>
              <c:strCache>
                <c:ptCount val="1"/>
                <c:pt idx="0">
                  <c:v>2014</c:v>
                </c:pt>
              </c:strCache>
            </c:strRef>
          </c:tx>
          <c:invertIfNegative val="0"/>
          <c:dLbls>
            <c:dLbl>
              <c:idx val="0"/>
              <c:spPr/>
              <c:txPr>
                <a:bodyPr/>
                <a:lstStyle/>
                <a:p>
                  <a:pPr>
                    <a:defRPr b="1"/>
                  </a:pPr>
                  <a:endParaRPr lang="es-CO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4.1666666666666664E-2"/>
                  <c:y val="1.8518518518518517E-2"/>
                </c:manualLayout>
              </c:layout>
              <c:spPr/>
              <c:txPr>
                <a:bodyPr/>
                <a:lstStyle/>
                <a:p>
                  <a:pPr>
                    <a:defRPr b="1"/>
                  </a:pPr>
                  <a:endParaRPr lang="es-CO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spPr/>
              <c:txPr>
                <a:bodyPr/>
                <a:lstStyle/>
                <a:p>
                  <a:pPr>
                    <a:defRPr b="1"/>
                  </a:pPr>
                  <a:endParaRPr lang="es-CO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Graficas!$A$4:$A$6</c:f>
              <c:strCache>
                <c:ptCount val="3"/>
                <c:pt idx="0">
                  <c:v>ACTIVOS </c:v>
                </c:pt>
                <c:pt idx="1">
                  <c:v>PASIVOS </c:v>
                </c:pt>
                <c:pt idx="2">
                  <c:v>PATRIMONIO </c:v>
                </c:pt>
              </c:strCache>
            </c:strRef>
          </c:cat>
          <c:val>
            <c:numRef>
              <c:f>Graficas!$C$4:$C$6</c:f>
              <c:numCache>
                <c:formatCode>0</c:formatCode>
                <c:ptCount val="3"/>
                <c:pt idx="0">
                  <c:v>5066591</c:v>
                </c:pt>
                <c:pt idx="1">
                  <c:v>1541057</c:v>
                </c:pt>
                <c:pt idx="2">
                  <c:v>3525534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731956592"/>
        <c:axId val="1731968560"/>
        <c:axId val="0"/>
      </c:bar3DChart>
      <c:catAx>
        <c:axId val="173195659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b="1"/>
            </a:pPr>
            <a:endParaRPr lang="es-CO"/>
          </a:p>
        </c:txPr>
        <c:crossAx val="1731968560"/>
        <c:crosses val="autoZero"/>
        <c:auto val="1"/>
        <c:lblAlgn val="ctr"/>
        <c:lblOffset val="100"/>
        <c:noMultiLvlLbl val="0"/>
      </c:catAx>
      <c:valAx>
        <c:axId val="1731968560"/>
        <c:scaling>
          <c:orientation val="minMax"/>
        </c:scaling>
        <c:delete val="0"/>
        <c:axPos val="l"/>
        <c:majorGridlines/>
        <c:numFmt formatCode="0" sourceLinked="1"/>
        <c:majorTickMark val="none"/>
        <c:minorTickMark val="none"/>
        <c:tickLblPos val="nextTo"/>
        <c:txPr>
          <a:bodyPr/>
          <a:lstStyle/>
          <a:p>
            <a:pPr>
              <a:defRPr b="1"/>
            </a:pPr>
            <a:endParaRPr lang="es-CO"/>
          </a:p>
        </c:txPr>
        <c:crossAx val="1731956592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/>
      <c:overlay val="0"/>
    </c:legend>
    <c:plotVisOnly val="1"/>
    <c:dispBlanksAs val="gap"/>
    <c:showDLblsOverMax val="0"/>
  </c:chart>
  <c:spPr>
    <a:blipFill>
      <a:blip xmlns:r="http://schemas.openxmlformats.org/officeDocument/2006/relationships" r:embed="rId1"/>
      <a:tile tx="0" ty="0" sx="100000" sy="100000" flip="none" algn="tl"/>
    </a:blipFill>
  </c:spPr>
  <c:externalData r:id="rId2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337A63-653C-409A-8A48-014F2CD2C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2194</TotalTime>
  <Pages>8</Pages>
  <Words>1408</Words>
  <Characters>7749</Characters>
  <Application>Microsoft Office Word</Application>
  <DocSecurity>0</DocSecurity>
  <Lines>64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USER</cp:lastModifiedBy>
  <cp:revision>33</cp:revision>
  <cp:lastPrinted>2016-12-25T22:03:00Z</cp:lastPrinted>
  <dcterms:created xsi:type="dcterms:W3CDTF">2015-09-24T21:09:00Z</dcterms:created>
  <dcterms:modified xsi:type="dcterms:W3CDTF">2016-12-25T22:03:00Z</dcterms:modified>
</cp:coreProperties>
</file>